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46E111AB" w:rsidR="00AB53A4" w:rsidRPr="008F2E7A" w:rsidRDefault="00613310" w:rsidP="004F272F">
      <w:pPr>
        <w:pStyle w:val="Heading1"/>
        <w:spacing w:before="120"/>
        <w:rPr>
          <w:sz w:val="44"/>
        </w:rPr>
      </w:pPr>
      <w:r w:rsidRPr="008F2E7A">
        <w:rPr>
          <w:sz w:val="44"/>
        </w:rPr>
        <w:t xml:space="preserve">Changes to MBS Items for Orthopaedic </w:t>
      </w:r>
      <w:r w:rsidR="00501700">
        <w:rPr>
          <w:sz w:val="44"/>
        </w:rPr>
        <w:t>Knee</w:t>
      </w:r>
      <w:r w:rsidR="003E0EB0" w:rsidRPr="003E0EB0">
        <w:rPr>
          <w:sz w:val="44"/>
        </w:rPr>
        <w:t xml:space="preserve"> </w:t>
      </w:r>
      <w:r w:rsidRPr="008F2E7A">
        <w:rPr>
          <w:sz w:val="44"/>
        </w:rPr>
        <w:t xml:space="preserve">Surgery  </w:t>
      </w:r>
    </w:p>
    <w:p w14:paraId="164E6074" w14:textId="5359C1A8" w:rsidR="00907B4A" w:rsidRPr="00AB53A4" w:rsidRDefault="00907B4A" w:rsidP="00AB53A4">
      <w:bookmarkStart w:id="0" w:name="_Hlk4568006"/>
      <w:r w:rsidRPr="00EA1D2E">
        <w:t xml:space="preserve">Last updated: </w:t>
      </w:r>
      <w:r w:rsidR="00673BD5">
        <w:t>1 July</w:t>
      </w:r>
      <w:r w:rsidR="00613310" w:rsidRPr="00EA1D2E">
        <w:t xml:space="preserve"> 2021</w:t>
      </w:r>
    </w:p>
    <w:bookmarkEnd w:id="0"/>
    <w:p w14:paraId="57D6FE4F" w14:textId="2BAA50F5" w:rsidR="00045810" w:rsidRDefault="00907B4A" w:rsidP="009E66EE">
      <w:pPr>
        <w:pStyle w:val="ListParagraph"/>
      </w:pPr>
      <w:r>
        <w:t xml:space="preserve">From </w:t>
      </w:r>
      <w:r w:rsidR="00613310">
        <w:t>1 July 2021, the</w:t>
      </w:r>
      <w:r>
        <w:t xml:space="preserve"> MBS items for </w:t>
      </w:r>
      <w:r w:rsidR="00613310">
        <w:t xml:space="preserve">orthopaedic </w:t>
      </w:r>
      <w:r w:rsidR="00501700">
        <w:t>knee</w:t>
      </w:r>
      <w:r w:rsidR="003E0EB0">
        <w:t xml:space="preserve"> </w:t>
      </w:r>
      <w:r w:rsidR="00613310">
        <w:t>surgery</w:t>
      </w:r>
      <w:r w:rsidR="00B714E8">
        <w:t xml:space="preserve"> </w:t>
      </w:r>
      <w:r w:rsidR="006E4F95">
        <w:t>will be</w:t>
      </w:r>
      <w:r>
        <w:t xml:space="preserve"> changing to</w:t>
      </w:r>
      <w:r w:rsidR="00EC1B51">
        <w:t xml:space="preserve"> support high value care,</w:t>
      </w:r>
      <w:r>
        <w:t xml:space="preserve"> </w:t>
      </w:r>
      <w:r w:rsidR="006E4F95">
        <w:t>reflect contemporary clinical practice</w:t>
      </w:r>
      <w:r w:rsidR="00EC1B51">
        <w:t>, and improve quality of care and safety for patients</w:t>
      </w:r>
      <w:r w:rsidR="006E4F95">
        <w:t xml:space="preserve">. These changes are a result of the MBS Review Taskforce (the Taskforce) recommendations and </w:t>
      </w:r>
      <w:r w:rsidR="00AB57A3">
        <w:t xml:space="preserve">extensive </w:t>
      </w:r>
      <w:r w:rsidR="006E4F95">
        <w:t xml:space="preserve">consultation with </w:t>
      </w:r>
      <w:r w:rsidR="00AB57A3">
        <w:t xml:space="preserve">key </w:t>
      </w:r>
      <w:r w:rsidR="006E4F95">
        <w:t xml:space="preserve">stakeholders. </w:t>
      </w:r>
    </w:p>
    <w:p w14:paraId="6DE6F111" w14:textId="0F16A571" w:rsidR="00045810" w:rsidRDefault="003E0EB0" w:rsidP="00045810">
      <w:pPr>
        <w:pStyle w:val="ListParagraph"/>
      </w:pPr>
      <w:r>
        <w:t xml:space="preserve">These changes are relevant to </w:t>
      </w:r>
      <w:r w:rsidR="00621A16">
        <w:t>specialists</w:t>
      </w:r>
      <w:r w:rsidR="006E4F95">
        <w:t xml:space="preserve"> involved in the provision of orthopaedic surgery services, consumers claiming these services, private hospitals, and private health insurers. </w:t>
      </w:r>
    </w:p>
    <w:p w14:paraId="4FBB073F" w14:textId="1DB7B112" w:rsidR="00AB53A4" w:rsidRDefault="006E4F95" w:rsidP="00AB53A4">
      <w:pPr>
        <w:pStyle w:val="ListParagraph"/>
      </w:pPr>
      <w:r>
        <w:t xml:space="preserve">Billing practices from 1 July 2021 will need to be adjusted to reflect these changes. </w:t>
      </w:r>
    </w:p>
    <w:p w14:paraId="5511CF48" w14:textId="77777777" w:rsidR="0017279A" w:rsidRDefault="00D00F4D"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2749DD5E" w14:textId="235D815B" w:rsidR="00F074CE" w:rsidRPr="0071212A" w:rsidRDefault="003E0EB0" w:rsidP="00AB53A4">
      <w:pPr>
        <w:pStyle w:val="Heading2"/>
        <w:rPr>
          <w:sz w:val="26"/>
          <w:szCs w:val="26"/>
        </w:rPr>
      </w:pPr>
      <w:r>
        <w:rPr>
          <w:sz w:val="26"/>
          <w:szCs w:val="26"/>
        </w:rPr>
        <w:t>Summary of the</w:t>
      </w:r>
      <w:r w:rsidR="00E370F4" w:rsidRPr="0071212A">
        <w:rPr>
          <w:sz w:val="26"/>
          <w:szCs w:val="26"/>
        </w:rPr>
        <w:t xml:space="preserve"> changes</w:t>
      </w:r>
    </w:p>
    <w:p w14:paraId="57BE1B51" w14:textId="34B49E7C" w:rsidR="00BD1C20" w:rsidRDefault="009E66EE" w:rsidP="00E81287">
      <w:r>
        <w:t xml:space="preserve">From </w:t>
      </w:r>
      <w:r w:rsidR="006E4F95">
        <w:t>1 July 2021</w:t>
      </w:r>
      <w:r>
        <w:t xml:space="preserve">, there </w:t>
      </w:r>
      <w:bookmarkStart w:id="1" w:name="_Hlk535507068"/>
      <w:r>
        <w:t xml:space="preserve">will be </w:t>
      </w:r>
      <w:r w:rsidR="00135417">
        <w:t xml:space="preserve">a </w:t>
      </w:r>
      <w:bookmarkEnd w:id="1"/>
      <w:r w:rsidR="00135417">
        <w:t xml:space="preserve">revised </w:t>
      </w:r>
      <w:r w:rsidR="00EC1B51">
        <w:t xml:space="preserve">MBS item structure </w:t>
      </w:r>
      <w:r w:rsidR="00921291">
        <w:t>for</w:t>
      </w:r>
      <w:r w:rsidR="00135417">
        <w:t xml:space="preserve"> </w:t>
      </w:r>
      <w:r w:rsidR="006E4F95">
        <w:t xml:space="preserve">orthopaedic </w:t>
      </w:r>
      <w:r w:rsidR="00501700">
        <w:t>knee</w:t>
      </w:r>
      <w:r w:rsidR="00921291">
        <w:t xml:space="preserve"> </w:t>
      </w:r>
      <w:r w:rsidR="006E4F95">
        <w:t>surgery services</w:t>
      </w:r>
      <w:r>
        <w:t xml:space="preserve">. </w:t>
      </w:r>
      <w:r w:rsidR="006E4F95">
        <w:t>Overall, t</w:t>
      </w:r>
      <w:r w:rsidR="00135417">
        <w:t>he new structure includes</w:t>
      </w:r>
      <w:r>
        <w:t>:</w:t>
      </w:r>
    </w:p>
    <w:p w14:paraId="332AC6CC" w14:textId="7D6D6F7F" w:rsidR="00135417" w:rsidRPr="000F2165" w:rsidRDefault="00501700" w:rsidP="00135417">
      <w:pPr>
        <w:pStyle w:val="ListParagraph"/>
        <w:rPr>
          <w:rStyle w:val="NEWItemNumber"/>
        </w:rPr>
      </w:pPr>
      <w:r>
        <w:rPr>
          <w:rStyle w:val="NEWItemNumber"/>
        </w:rPr>
        <w:t>19</w:t>
      </w:r>
      <w:r w:rsidR="004F3141">
        <w:rPr>
          <w:rStyle w:val="NEWItemNumber"/>
        </w:rPr>
        <w:t xml:space="preserve"> new items </w:t>
      </w:r>
      <w:r w:rsidR="004F3141" w:rsidRPr="004F3141">
        <w:rPr>
          <w:b/>
          <w:color w:val="FFFFFF" w:themeColor="background1"/>
          <w:u w:color="006341" w:themeColor="accent1"/>
          <w:shd w:val="clear" w:color="auto" w:fill="789D4A" w:themeFill="accent2"/>
        </w:rPr>
        <w:t>that represent complete medical services</w:t>
      </w:r>
    </w:p>
    <w:p w14:paraId="737CB17A" w14:textId="2C9653CD" w:rsidR="00135417" w:rsidRDefault="00501700" w:rsidP="00135417">
      <w:pPr>
        <w:pStyle w:val="ListParagraph"/>
        <w:rPr>
          <w:rStyle w:val="AmendedItemNumber"/>
        </w:rPr>
      </w:pPr>
      <w:r>
        <w:rPr>
          <w:rStyle w:val="AmendedItemNumber"/>
        </w:rPr>
        <w:t>27</w:t>
      </w:r>
      <w:r w:rsidR="009E4A9E" w:rsidRPr="000F2165">
        <w:rPr>
          <w:rStyle w:val="AmendedItemNumber"/>
        </w:rPr>
        <w:t xml:space="preserve"> amended </w:t>
      </w:r>
      <w:r w:rsidR="00135417" w:rsidRPr="000F2165">
        <w:rPr>
          <w:rStyle w:val="AmendedItemNumber"/>
        </w:rPr>
        <w:t>item</w:t>
      </w:r>
      <w:r w:rsidR="006E4F95" w:rsidRPr="000F2165">
        <w:rPr>
          <w:rStyle w:val="AmendedItemNumber"/>
        </w:rPr>
        <w:t>s</w:t>
      </w:r>
      <w:r w:rsidR="00135417" w:rsidRPr="000F2165">
        <w:rPr>
          <w:rStyle w:val="AmendedItemNumber"/>
        </w:rPr>
        <w:t xml:space="preserve"> </w:t>
      </w:r>
      <w:r w:rsidR="00256296" w:rsidRPr="000F2165">
        <w:rPr>
          <w:rStyle w:val="AmendedItemNumber"/>
        </w:rPr>
        <w:t xml:space="preserve">for services considered </w:t>
      </w:r>
      <w:r w:rsidR="009840B4" w:rsidRPr="000F2165">
        <w:rPr>
          <w:rStyle w:val="AmendedItemNumber"/>
        </w:rPr>
        <w:t xml:space="preserve">as requiring change in order to improve clarity of services for patients and providers, and improve the MBS to better reflect contemporary clinical practice. </w:t>
      </w:r>
    </w:p>
    <w:p w14:paraId="2851C3D9" w14:textId="0EC21149" w:rsidR="00921291" w:rsidRDefault="00501700" w:rsidP="003E0EB0">
      <w:pPr>
        <w:pStyle w:val="ListParagraph"/>
        <w:rPr>
          <w:rStyle w:val="DeletedItemNumber"/>
        </w:rPr>
      </w:pPr>
      <w:r w:rsidRPr="00501700">
        <w:rPr>
          <w:rStyle w:val="DeletedItemNumber"/>
          <w:highlight w:val="lightGray"/>
        </w:rPr>
        <w:t>14</w:t>
      </w:r>
      <w:r w:rsidR="0071212A" w:rsidRPr="00501700">
        <w:rPr>
          <w:rStyle w:val="DeletedItemNumber"/>
          <w:highlight w:val="lightGray"/>
        </w:rPr>
        <w:t xml:space="preserve"> superseded items where services have been consolidated into new or amended items.</w:t>
      </w:r>
    </w:p>
    <w:p w14:paraId="461DE24E" w14:textId="5C3E6681" w:rsidR="00501700" w:rsidRPr="00921291" w:rsidRDefault="00501700" w:rsidP="003E0EB0">
      <w:pPr>
        <w:pStyle w:val="ListParagraph"/>
        <w:rPr>
          <w:b/>
          <w:color w:val="FFFFFF" w:themeColor="background1"/>
          <w:u w:color="006341" w:themeColor="accent1"/>
          <w:shd w:val="clear" w:color="auto" w:fill="A72B2A" w:themeFill="accent6"/>
        </w:rPr>
      </w:pPr>
      <w:r>
        <w:rPr>
          <w:b/>
          <w:color w:val="FFFFFF" w:themeColor="background1"/>
          <w:highlight w:val="red"/>
          <w:u w:color="006341" w:themeColor="accent1"/>
          <w:shd w:val="clear" w:color="auto" w:fill="A72B2A" w:themeFill="accent6"/>
        </w:rPr>
        <w:t>1</w:t>
      </w:r>
      <w:r w:rsidR="00121BAC">
        <w:rPr>
          <w:b/>
          <w:color w:val="FFFFFF" w:themeColor="background1"/>
          <w:highlight w:val="red"/>
          <w:u w:color="006341" w:themeColor="accent1"/>
          <w:shd w:val="clear" w:color="auto" w:fill="A72B2A" w:themeFill="accent6"/>
        </w:rPr>
        <w:t xml:space="preserve"> deleted item</w:t>
      </w:r>
      <w:r>
        <w:rPr>
          <w:b/>
          <w:color w:val="FFFFFF" w:themeColor="background1"/>
          <w:highlight w:val="red"/>
          <w:u w:color="006341" w:themeColor="accent1"/>
          <w:shd w:val="clear" w:color="auto" w:fill="A72B2A" w:themeFill="accent6"/>
        </w:rPr>
        <w:t xml:space="preserve"> </w:t>
      </w:r>
      <w:r w:rsidRPr="006C42BE">
        <w:rPr>
          <w:b/>
          <w:color w:val="FFFFFF" w:themeColor="background1"/>
          <w:highlight w:val="red"/>
          <w:u w:color="006341" w:themeColor="accent1"/>
          <w:shd w:val="clear" w:color="auto" w:fill="A72B2A" w:themeFill="accent6"/>
        </w:rPr>
        <w:t>where services have been assessed obsolete or no longer reflective of contemporary clinical practice.</w:t>
      </w:r>
    </w:p>
    <w:p w14:paraId="32316100" w14:textId="5BEBFF2C" w:rsidR="00921291" w:rsidRDefault="00921291" w:rsidP="00921291">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272078B0" w14:textId="641FE5E0" w:rsidR="00D061E9" w:rsidRDefault="000F737E" w:rsidP="00921291">
      <w:pPr>
        <w:rPr>
          <w:szCs w:val="20"/>
        </w:rPr>
      </w:pPr>
      <w:r>
        <w:rPr>
          <w:szCs w:val="20"/>
        </w:rPr>
        <w:t xml:space="preserve">The new </w:t>
      </w:r>
      <w:r w:rsidR="00501700">
        <w:rPr>
          <w:szCs w:val="20"/>
        </w:rPr>
        <w:t>knee</w:t>
      </w:r>
      <w:r w:rsidR="00D061E9">
        <w:rPr>
          <w:szCs w:val="20"/>
        </w:rPr>
        <w:t xml:space="preserve"> orthopaedic item structure will be included in the MBS under Subgroup </w:t>
      </w:r>
      <w:r w:rsidR="00771DE9">
        <w:rPr>
          <w:szCs w:val="20"/>
        </w:rPr>
        <w:t>15</w:t>
      </w:r>
      <w:r w:rsidR="00D061E9">
        <w:rPr>
          <w:szCs w:val="20"/>
        </w:rPr>
        <w:t xml:space="preserve"> of Group T8 – Surgical Operations.</w:t>
      </w:r>
    </w:p>
    <w:p w14:paraId="6E4551CD" w14:textId="6816BCC9" w:rsidR="0009225E" w:rsidRDefault="0009225E" w:rsidP="00921291">
      <w:pPr>
        <w:rPr>
          <w:szCs w:val="20"/>
        </w:rPr>
      </w:pPr>
      <w:r>
        <w:rPr>
          <w:szCs w:val="20"/>
        </w:rPr>
        <w:t xml:space="preserve">The </w:t>
      </w:r>
      <w:r w:rsidR="00501700">
        <w:rPr>
          <w:szCs w:val="20"/>
        </w:rPr>
        <w:t>knee</w:t>
      </w:r>
      <w:r>
        <w:rPr>
          <w:szCs w:val="20"/>
        </w:rPr>
        <w:t xml:space="preserve"> MBS items have been restructured to create </w:t>
      </w:r>
      <w:r w:rsidR="000F737E">
        <w:rPr>
          <w:szCs w:val="20"/>
        </w:rPr>
        <w:t xml:space="preserve">a </w:t>
      </w:r>
      <w:r w:rsidR="00F0776F">
        <w:rPr>
          <w:szCs w:val="20"/>
        </w:rPr>
        <w:t xml:space="preserve">more </w:t>
      </w:r>
      <w:r>
        <w:rPr>
          <w:szCs w:val="20"/>
        </w:rPr>
        <w:t>logic</w:t>
      </w:r>
      <w:r w:rsidR="00F0776F">
        <w:rPr>
          <w:szCs w:val="20"/>
        </w:rPr>
        <w:t xml:space="preserve">al and streamlined </w:t>
      </w:r>
      <w:r w:rsidR="000F737E">
        <w:rPr>
          <w:szCs w:val="20"/>
        </w:rPr>
        <w:t xml:space="preserve">group of items with fees reflecting the level of service involved in line with contemporary practice. </w:t>
      </w:r>
    </w:p>
    <w:p w14:paraId="613896DD" w14:textId="0F777504" w:rsidR="0009225E" w:rsidRDefault="00F0776F" w:rsidP="00921291">
      <w:pPr>
        <w:rPr>
          <w:szCs w:val="20"/>
        </w:rPr>
      </w:pPr>
      <w:r>
        <w:rPr>
          <w:szCs w:val="20"/>
        </w:rPr>
        <w:t>C</w:t>
      </w:r>
      <w:r w:rsidR="0009225E">
        <w:rPr>
          <w:szCs w:val="20"/>
        </w:rPr>
        <w:t xml:space="preserve">hanges have been made to some item descriptors to create complete medical services. Descriptors now </w:t>
      </w:r>
      <w:r w:rsidR="00621A16">
        <w:rPr>
          <w:szCs w:val="20"/>
        </w:rPr>
        <w:t>specify</w:t>
      </w:r>
      <w:r w:rsidR="0009225E">
        <w:rPr>
          <w:szCs w:val="20"/>
        </w:rPr>
        <w:t xml:space="preserve"> the components to be included in a procedure to provide greater clarity on the use of the items. </w:t>
      </w:r>
      <w:r w:rsidR="00121BAC">
        <w:rPr>
          <w:szCs w:val="20"/>
        </w:rPr>
        <w:t>A number of items have been amended to include a provision for surgical assistance to reflect the complexity of the procedures and support patient safety and outcomes.</w:t>
      </w:r>
    </w:p>
    <w:p w14:paraId="0C7B8F26" w14:textId="67545CED" w:rsidR="00121BAC" w:rsidRDefault="00121BAC" w:rsidP="00921291">
      <w:pPr>
        <w:rPr>
          <w:szCs w:val="20"/>
        </w:rPr>
      </w:pPr>
      <w:r>
        <w:rPr>
          <w:szCs w:val="20"/>
        </w:rPr>
        <w:t>The existing knee arthroscopy items have been replaced with 9 new items, separated into three tiers</w:t>
      </w:r>
      <w:r w:rsidR="000347FE">
        <w:rPr>
          <w:szCs w:val="20"/>
        </w:rPr>
        <w:t xml:space="preserve"> based on complexity</w:t>
      </w:r>
      <w:r>
        <w:rPr>
          <w:szCs w:val="20"/>
        </w:rPr>
        <w:t xml:space="preserve">, which better reflect the range of complexity associated with arthroscopic procedures of the knee. This assists in simplifying the MBS and </w:t>
      </w:r>
      <w:r w:rsidR="00771DE9">
        <w:rPr>
          <w:szCs w:val="20"/>
        </w:rPr>
        <w:t>provides</w:t>
      </w:r>
      <w:r>
        <w:rPr>
          <w:szCs w:val="20"/>
        </w:rPr>
        <w:t xml:space="preserve"> better guidance for providers billing arthroscopic </w:t>
      </w:r>
      <w:r w:rsidRPr="00121BAC">
        <w:rPr>
          <w:szCs w:val="20"/>
        </w:rPr>
        <w:t>procedures of the knee.</w:t>
      </w:r>
    </w:p>
    <w:p w14:paraId="3EAAF5E1" w14:textId="77777777" w:rsidR="00121BAC" w:rsidRDefault="00121BAC" w:rsidP="00921291">
      <w:pPr>
        <w:rPr>
          <w:szCs w:val="20"/>
        </w:rPr>
      </w:pPr>
    </w:p>
    <w:p w14:paraId="3E9A9BF3" w14:textId="0DD1A4C6" w:rsidR="00921291" w:rsidRDefault="00921291" w:rsidP="00907951">
      <w:pPr>
        <w:spacing w:after="120"/>
        <w:rPr>
          <w:szCs w:val="20"/>
        </w:rPr>
      </w:pPr>
      <w:r w:rsidRPr="00921291">
        <w:rPr>
          <w:szCs w:val="20"/>
        </w:rPr>
        <w:lastRenderedPageBreak/>
        <w:t>Please note that the information provided is a general guide only and subject to revision.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6D722330" w14:textId="65F3C0CA" w:rsidR="00E11077" w:rsidRDefault="00F0776F" w:rsidP="00907951">
      <w:pPr>
        <w:spacing w:after="120"/>
        <w:rPr>
          <w:rFonts w:ascii="Calibri" w:eastAsiaTheme="minorHAnsi" w:hAnsi="Calibri"/>
          <w:szCs w:val="20"/>
        </w:rPr>
      </w:pPr>
      <w:r>
        <w:rPr>
          <w:szCs w:val="20"/>
        </w:rPr>
        <w:t xml:space="preserve">The following information provides an overview of key changes within the </w:t>
      </w:r>
      <w:r w:rsidR="00501700">
        <w:rPr>
          <w:szCs w:val="20"/>
        </w:rPr>
        <w:t>knee</w:t>
      </w:r>
      <w:r>
        <w:rPr>
          <w:szCs w:val="20"/>
        </w:rPr>
        <w:t xml:space="preserve"> surgery schedule. </w:t>
      </w:r>
    </w:p>
    <w:p w14:paraId="685A8428" w14:textId="77777777" w:rsidR="004B3CCD" w:rsidRDefault="004B3CCD" w:rsidP="00907951">
      <w:pPr>
        <w:spacing w:after="120"/>
        <w:rPr>
          <w:rFonts w:ascii="Calibri" w:eastAsiaTheme="minorHAnsi" w:hAnsi="Calibri"/>
          <w:szCs w:val="20"/>
        </w:rPr>
      </w:pPr>
    </w:p>
    <w:p w14:paraId="309574AA" w14:textId="7E453C90" w:rsidR="00621A16" w:rsidRPr="00E11077" w:rsidRDefault="00E11077" w:rsidP="00907951">
      <w:pPr>
        <w:spacing w:after="120"/>
        <w:rPr>
          <w:rFonts w:ascii="Calibri" w:eastAsiaTheme="minorHAnsi" w:hAnsi="Calibri"/>
          <w:szCs w:val="20"/>
        </w:rPr>
      </w:pPr>
      <w:r>
        <w:rPr>
          <w:rFonts w:ascii="Calibri" w:eastAsiaTheme="minorHAnsi" w:hAnsi="Calibri"/>
          <w:szCs w:val="20"/>
        </w:rPr>
        <w:br/>
      </w:r>
      <w:r w:rsidR="00501700">
        <w:rPr>
          <w:rFonts w:asciiTheme="minorHAnsi" w:hAnsiTheme="minorHAnsi" w:cstheme="minorHAnsi"/>
          <w:b/>
          <w:szCs w:val="20"/>
        </w:rPr>
        <w:t>General Knee Surgery</w:t>
      </w:r>
    </w:p>
    <w:p w14:paraId="2BDC2B37" w14:textId="73A84FAB" w:rsidR="00501700" w:rsidRPr="00501700" w:rsidRDefault="00501700" w:rsidP="00907951">
      <w:pPr>
        <w:spacing w:after="120"/>
        <w:rPr>
          <w:rFonts w:asciiTheme="minorHAnsi" w:hAnsiTheme="minorHAnsi" w:cstheme="minorHAnsi"/>
          <w:szCs w:val="20"/>
        </w:rPr>
      </w:pPr>
      <w:r w:rsidRPr="00501700">
        <w:rPr>
          <w:rFonts w:asciiTheme="minorHAnsi" w:hAnsiTheme="minorHAnsi" w:cstheme="minorHAnsi"/>
          <w:szCs w:val="20"/>
        </w:rPr>
        <w:t>Items 49503 and 49506:</w:t>
      </w:r>
    </w:p>
    <w:p w14:paraId="5C901FF0" w14:textId="586B3652" w:rsidR="00501700" w:rsidRDefault="00501700" w:rsidP="00907951">
      <w:pPr>
        <w:pStyle w:val="ListParagraph"/>
        <w:numPr>
          <w:ilvl w:val="0"/>
          <w:numId w:val="2"/>
        </w:numPr>
        <w:spacing w:after="120"/>
        <w:rPr>
          <w:rFonts w:asciiTheme="minorHAnsi" w:hAnsiTheme="minorHAnsi" w:cstheme="minorHAnsi"/>
          <w:szCs w:val="20"/>
        </w:rPr>
      </w:pPr>
      <w:r>
        <w:rPr>
          <w:rFonts w:asciiTheme="minorHAnsi" w:hAnsiTheme="minorHAnsi" w:cstheme="minorHAnsi"/>
          <w:szCs w:val="20"/>
        </w:rPr>
        <w:t xml:space="preserve">Have been amended to reflect </w:t>
      </w:r>
      <w:r w:rsidRPr="00501700">
        <w:rPr>
          <w:rFonts w:asciiTheme="minorHAnsi" w:hAnsiTheme="minorHAnsi" w:cstheme="minorHAnsi"/>
          <w:szCs w:val="20"/>
        </w:rPr>
        <w:t>to reflect modern clinical practice and clarify the components of the procedure.</w:t>
      </w:r>
    </w:p>
    <w:p w14:paraId="240FC407" w14:textId="3DC18175" w:rsidR="00501700" w:rsidRDefault="00501700" w:rsidP="00907951">
      <w:pPr>
        <w:pStyle w:val="ListParagraph"/>
        <w:numPr>
          <w:ilvl w:val="0"/>
          <w:numId w:val="2"/>
        </w:numPr>
        <w:spacing w:after="120"/>
        <w:rPr>
          <w:rFonts w:asciiTheme="minorHAnsi" w:hAnsiTheme="minorHAnsi" w:cstheme="minorHAnsi"/>
          <w:szCs w:val="20"/>
        </w:rPr>
      </w:pPr>
      <w:r>
        <w:rPr>
          <w:rFonts w:asciiTheme="minorHAnsi" w:hAnsiTheme="minorHAnsi" w:cstheme="minorHAnsi"/>
          <w:szCs w:val="20"/>
        </w:rPr>
        <w:t>This includes replacin</w:t>
      </w:r>
      <w:r w:rsidR="00375AD0">
        <w:rPr>
          <w:rFonts w:asciiTheme="minorHAnsi" w:hAnsiTheme="minorHAnsi" w:cstheme="minorHAnsi"/>
          <w:szCs w:val="20"/>
        </w:rPr>
        <w:t xml:space="preserve">g the terms </w:t>
      </w:r>
      <w:r w:rsidR="00375AD0" w:rsidRPr="00375AD0">
        <w:rPr>
          <w:rFonts w:asciiTheme="minorHAnsi" w:hAnsiTheme="minorHAnsi" w:cstheme="minorHAnsi"/>
          <w:szCs w:val="20"/>
        </w:rPr>
        <w:t xml:space="preserve">‘chondroplasty’ and ’osteoplasty’ with the </w:t>
      </w:r>
      <w:r w:rsidR="00375AD0">
        <w:rPr>
          <w:rFonts w:asciiTheme="minorHAnsi" w:hAnsiTheme="minorHAnsi" w:cstheme="minorHAnsi"/>
          <w:szCs w:val="20"/>
        </w:rPr>
        <w:t>phrase</w:t>
      </w:r>
      <w:r w:rsidR="00375AD0" w:rsidRPr="00375AD0">
        <w:rPr>
          <w:rFonts w:asciiTheme="minorHAnsi" w:hAnsiTheme="minorHAnsi" w:cstheme="minorHAnsi"/>
          <w:szCs w:val="20"/>
        </w:rPr>
        <w:t xml:space="preserve"> ‘repair or replacement of chondral or osteochond</w:t>
      </w:r>
      <w:r w:rsidR="00375AD0">
        <w:rPr>
          <w:rFonts w:asciiTheme="minorHAnsi" w:hAnsiTheme="minorHAnsi" w:cstheme="minorHAnsi"/>
          <w:szCs w:val="20"/>
        </w:rPr>
        <w:t>ral surface’ and removal of the term</w:t>
      </w:r>
      <w:r w:rsidR="00375AD0" w:rsidRPr="00375AD0">
        <w:rPr>
          <w:rFonts w:asciiTheme="minorHAnsi" w:hAnsiTheme="minorHAnsi" w:cstheme="minorHAnsi"/>
          <w:szCs w:val="20"/>
        </w:rPr>
        <w:t xml:space="preserve"> ‘patellofemoral stabilisation’.</w:t>
      </w:r>
    </w:p>
    <w:p w14:paraId="43904CFB" w14:textId="1D03FBF2" w:rsidR="00375AD0" w:rsidRDefault="00484F1A" w:rsidP="00907951">
      <w:pPr>
        <w:pStyle w:val="ListParagraph"/>
        <w:numPr>
          <w:ilvl w:val="0"/>
          <w:numId w:val="2"/>
        </w:numPr>
        <w:spacing w:after="120"/>
        <w:rPr>
          <w:rFonts w:asciiTheme="minorHAnsi" w:hAnsiTheme="minorHAnsi" w:cstheme="minorHAnsi"/>
          <w:szCs w:val="20"/>
        </w:rPr>
      </w:pPr>
      <w:r>
        <w:rPr>
          <w:rFonts w:asciiTheme="minorHAnsi" w:hAnsiTheme="minorHAnsi" w:cstheme="minorHAnsi"/>
          <w:szCs w:val="20"/>
        </w:rPr>
        <w:t>Patello</w:t>
      </w:r>
      <w:r w:rsidR="00375AD0" w:rsidRPr="00375AD0">
        <w:rPr>
          <w:rFonts w:asciiTheme="minorHAnsi" w:hAnsiTheme="minorHAnsi" w:cstheme="minorHAnsi"/>
          <w:szCs w:val="20"/>
        </w:rPr>
        <w:t xml:space="preserve">femoral stabilisation procedures are covered under item 49564 and </w:t>
      </w:r>
      <w:r w:rsidR="00907951">
        <w:rPr>
          <w:rFonts w:asciiTheme="minorHAnsi" w:hAnsiTheme="minorHAnsi" w:cstheme="minorHAnsi"/>
          <w:szCs w:val="20"/>
        </w:rPr>
        <w:t>this component has</w:t>
      </w:r>
      <w:r w:rsidR="00375AD0" w:rsidRPr="00375AD0">
        <w:rPr>
          <w:rFonts w:asciiTheme="minorHAnsi" w:hAnsiTheme="minorHAnsi" w:cstheme="minorHAnsi"/>
          <w:szCs w:val="20"/>
        </w:rPr>
        <w:t xml:space="preserve"> therefore been removed from these items</w:t>
      </w:r>
      <w:r w:rsidR="00375AD0">
        <w:rPr>
          <w:rFonts w:asciiTheme="minorHAnsi" w:hAnsiTheme="minorHAnsi" w:cstheme="minorHAnsi"/>
          <w:szCs w:val="20"/>
        </w:rPr>
        <w:t>.</w:t>
      </w:r>
    </w:p>
    <w:p w14:paraId="7E06CAE1" w14:textId="77777777" w:rsidR="00EA1D2E" w:rsidRDefault="00EA1D2E" w:rsidP="00907951">
      <w:pPr>
        <w:spacing w:after="120"/>
        <w:rPr>
          <w:rFonts w:asciiTheme="minorHAnsi" w:hAnsiTheme="minorHAnsi" w:cstheme="minorHAnsi"/>
          <w:szCs w:val="20"/>
        </w:rPr>
      </w:pPr>
    </w:p>
    <w:p w14:paraId="6FEA64AB" w14:textId="535BA647" w:rsidR="00375AD0" w:rsidRDefault="00375AD0" w:rsidP="00907951">
      <w:pPr>
        <w:spacing w:after="120"/>
        <w:rPr>
          <w:rFonts w:asciiTheme="minorHAnsi" w:hAnsiTheme="minorHAnsi" w:cstheme="minorHAnsi"/>
          <w:szCs w:val="20"/>
        </w:rPr>
      </w:pPr>
      <w:r>
        <w:rPr>
          <w:rFonts w:asciiTheme="minorHAnsi" w:hAnsiTheme="minorHAnsi" w:cstheme="minorHAnsi"/>
          <w:szCs w:val="20"/>
        </w:rPr>
        <w:t>Item 49509:</w:t>
      </w:r>
    </w:p>
    <w:p w14:paraId="33483C72" w14:textId="3BD4A233" w:rsidR="00375AD0" w:rsidRDefault="00375AD0" w:rsidP="00907951">
      <w:pPr>
        <w:pStyle w:val="ListParagraph"/>
        <w:numPr>
          <w:ilvl w:val="0"/>
          <w:numId w:val="3"/>
        </w:numPr>
        <w:spacing w:after="120"/>
        <w:rPr>
          <w:rFonts w:asciiTheme="minorHAnsi" w:hAnsiTheme="minorHAnsi" w:cstheme="minorHAnsi"/>
          <w:szCs w:val="20"/>
        </w:rPr>
      </w:pPr>
      <w:r>
        <w:rPr>
          <w:rFonts w:asciiTheme="minorHAnsi" w:hAnsiTheme="minorHAnsi" w:cstheme="minorHAnsi"/>
          <w:szCs w:val="20"/>
        </w:rPr>
        <w:t>Has been amended to clarify that the service must be an open procedure, specify appropriate co-claiming with arthroplasty and to remove the term ‘arthrodesis’.</w:t>
      </w:r>
    </w:p>
    <w:p w14:paraId="6B2E6259" w14:textId="77777777" w:rsidR="00375AD0" w:rsidRDefault="00375AD0" w:rsidP="00907951">
      <w:pPr>
        <w:pStyle w:val="ListParagraph"/>
        <w:numPr>
          <w:ilvl w:val="0"/>
          <w:numId w:val="3"/>
        </w:numPr>
        <w:spacing w:after="120"/>
        <w:rPr>
          <w:rFonts w:asciiTheme="minorHAnsi" w:hAnsiTheme="minorHAnsi" w:cstheme="minorHAnsi"/>
          <w:szCs w:val="20"/>
        </w:rPr>
      </w:pPr>
      <w:r w:rsidRPr="00375AD0">
        <w:rPr>
          <w:rFonts w:asciiTheme="minorHAnsi" w:hAnsiTheme="minorHAnsi" w:cstheme="minorHAnsi"/>
          <w:szCs w:val="20"/>
        </w:rPr>
        <w:t xml:space="preserve">In most patients with osteoarthritis who undergo arthroplasty, synovectomy is an inherent part of the procedure and should not be claimed separately. </w:t>
      </w:r>
    </w:p>
    <w:p w14:paraId="111B87EA" w14:textId="50663ED7" w:rsidR="00501700" w:rsidRPr="00375AD0" w:rsidRDefault="00375AD0" w:rsidP="00907951">
      <w:pPr>
        <w:pStyle w:val="ListParagraph"/>
        <w:numPr>
          <w:ilvl w:val="0"/>
          <w:numId w:val="3"/>
        </w:numPr>
        <w:spacing w:after="120"/>
        <w:rPr>
          <w:rFonts w:asciiTheme="minorHAnsi" w:hAnsiTheme="minorHAnsi" w:cstheme="minorHAnsi"/>
          <w:szCs w:val="20"/>
        </w:rPr>
      </w:pPr>
      <w:r w:rsidRPr="00375AD0">
        <w:rPr>
          <w:rFonts w:asciiTheme="minorHAnsi" w:hAnsiTheme="minorHAnsi" w:cstheme="minorHAnsi"/>
          <w:szCs w:val="20"/>
        </w:rPr>
        <w:t xml:space="preserve">The </w:t>
      </w:r>
      <w:r>
        <w:rPr>
          <w:rFonts w:asciiTheme="minorHAnsi" w:hAnsiTheme="minorHAnsi" w:cstheme="minorHAnsi"/>
          <w:szCs w:val="20"/>
        </w:rPr>
        <w:t>amendments</w:t>
      </w:r>
      <w:r w:rsidRPr="00375AD0">
        <w:rPr>
          <w:rFonts w:asciiTheme="minorHAnsi" w:hAnsiTheme="minorHAnsi" w:cstheme="minorHAnsi"/>
          <w:szCs w:val="20"/>
        </w:rPr>
        <w:t xml:space="preserve"> will </w:t>
      </w:r>
      <w:r w:rsidR="00EA1D2E">
        <w:rPr>
          <w:rFonts w:asciiTheme="minorHAnsi" w:hAnsiTheme="minorHAnsi" w:cstheme="minorHAnsi"/>
          <w:szCs w:val="20"/>
        </w:rPr>
        <w:t>guide the</w:t>
      </w:r>
      <w:r w:rsidRPr="00375AD0">
        <w:rPr>
          <w:rFonts w:asciiTheme="minorHAnsi" w:hAnsiTheme="minorHAnsi" w:cstheme="minorHAnsi"/>
          <w:szCs w:val="20"/>
        </w:rPr>
        <w:t xml:space="preserve"> co-claiming of synovectomy in conjunction with arthroplasty without inflammatory arthropathy or post-infection or post-traumatic disorders.</w:t>
      </w:r>
    </w:p>
    <w:p w14:paraId="2BD8A941" w14:textId="77777777" w:rsidR="00EA1D2E" w:rsidRDefault="00EA1D2E" w:rsidP="00907951">
      <w:pPr>
        <w:spacing w:after="120"/>
      </w:pPr>
    </w:p>
    <w:p w14:paraId="22D9AFBE" w14:textId="71B79B95" w:rsidR="00501700" w:rsidRDefault="00375AD0" w:rsidP="00907951">
      <w:pPr>
        <w:spacing w:after="120"/>
      </w:pPr>
      <w:r>
        <w:t>Item 49515:</w:t>
      </w:r>
    </w:p>
    <w:p w14:paraId="69F0BD6F" w14:textId="578D6022" w:rsidR="00375AD0" w:rsidRDefault="00375AD0" w:rsidP="00907951">
      <w:pPr>
        <w:pStyle w:val="ListParagraph"/>
        <w:numPr>
          <w:ilvl w:val="0"/>
          <w:numId w:val="4"/>
        </w:numPr>
        <w:spacing w:after="120"/>
      </w:pPr>
      <w:r>
        <w:t>Has been amended to reflect current clinical practice and clarify that the item should be used for the insertion of a spacer (rather than revision surgery items).</w:t>
      </w:r>
    </w:p>
    <w:p w14:paraId="4E4E884C" w14:textId="77777777" w:rsidR="00EA1D2E" w:rsidRDefault="00EA1D2E" w:rsidP="00907951">
      <w:pPr>
        <w:spacing w:after="120"/>
      </w:pPr>
    </w:p>
    <w:p w14:paraId="524DFBE0" w14:textId="1E3E123E" w:rsidR="00501700" w:rsidRDefault="00375AD0" w:rsidP="00907951">
      <w:pPr>
        <w:spacing w:after="120"/>
      </w:pPr>
      <w:r>
        <w:t>Items 49516 and 49517:</w:t>
      </w:r>
    </w:p>
    <w:p w14:paraId="2DDEC7B2" w14:textId="158CDD3D" w:rsidR="00375AD0" w:rsidRDefault="00375AD0" w:rsidP="00907951">
      <w:pPr>
        <w:pStyle w:val="ListParagraph"/>
        <w:numPr>
          <w:ilvl w:val="0"/>
          <w:numId w:val="4"/>
        </w:numPr>
        <w:spacing w:after="120"/>
      </w:pPr>
      <w:r>
        <w:t xml:space="preserve">Item 49517 has been split into two items for </w:t>
      </w:r>
      <w:proofErr w:type="spellStart"/>
      <w:r>
        <w:t>unicompartmental</w:t>
      </w:r>
      <w:proofErr w:type="spellEnd"/>
      <w:r>
        <w:t xml:space="preserve"> arthroplasty: one for </w:t>
      </w:r>
      <w:r w:rsidRPr="00375AD0">
        <w:t xml:space="preserve">unilateral </w:t>
      </w:r>
      <w:proofErr w:type="spellStart"/>
      <w:r w:rsidRPr="00375AD0">
        <w:t>unicompartmental</w:t>
      </w:r>
      <w:proofErr w:type="spellEnd"/>
      <w:r w:rsidRPr="00375AD0">
        <w:t xml:space="preserve"> arthroplasty </w:t>
      </w:r>
      <w:r>
        <w:t xml:space="preserve">(49517) </w:t>
      </w:r>
      <w:r w:rsidRPr="00375AD0">
        <w:t xml:space="preserve">and one for bilateral </w:t>
      </w:r>
      <w:proofErr w:type="spellStart"/>
      <w:r w:rsidRPr="00375AD0">
        <w:t>unicompartmental</w:t>
      </w:r>
      <w:proofErr w:type="spellEnd"/>
      <w:r w:rsidRPr="00375AD0">
        <w:t xml:space="preserve"> arthroplasty</w:t>
      </w:r>
      <w:r>
        <w:t xml:space="preserve"> (49516)</w:t>
      </w:r>
      <w:r w:rsidRPr="00375AD0">
        <w:t>.</w:t>
      </w:r>
    </w:p>
    <w:p w14:paraId="57204685" w14:textId="6D5A81BC" w:rsidR="00501FF0" w:rsidRPr="00501700" w:rsidRDefault="00501FF0" w:rsidP="00907951">
      <w:pPr>
        <w:pStyle w:val="ListParagraph"/>
        <w:numPr>
          <w:ilvl w:val="0"/>
          <w:numId w:val="4"/>
        </w:numPr>
        <w:spacing w:after="120"/>
      </w:pPr>
      <w:r w:rsidRPr="00501FF0">
        <w:t xml:space="preserve">Reference to the anatomical site clarifies when this item can be used, such as preventing the use of this item if resurfacing devices are used rather than </w:t>
      </w:r>
      <w:proofErr w:type="spellStart"/>
      <w:r w:rsidRPr="00501FF0">
        <w:t>unicompartmental</w:t>
      </w:r>
      <w:proofErr w:type="spellEnd"/>
      <w:r w:rsidRPr="00501FF0">
        <w:t xml:space="preserve"> arthroplasty.</w:t>
      </w:r>
    </w:p>
    <w:p w14:paraId="775851E9" w14:textId="6E7D91E5" w:rsidR="0079304C" w:rsidRDefault="0079304C" w:rsidP="00907951">
      <w:pPr>
        <w:spacing w:after="120" w:line="259" w:lineRule="auto"/>
      </w:pPr>
      <w:r>
        <w:br w:type="page"/>
      </w:r>
    </w:p>
    <w:p w14:paraId="2CDA06BE" w14:textId="2826E628" w:rsidR="00501700" w:rsidRDefault="00121BAC" w:rsidP="00907951">
      <w:pPr>
        <w:spacing w:after="120"/>
      </w:pPr>
      <w:r>
        <w:lastRenderedPageBreak/>
        <w:t>Item 49590:</w:t>
      </w:r>
    </w:p>
    <w:p w14:paraId="589C8CD7" w14:textId="31CA101E" w:rsidR="00121BAC" w:rsidRDefault="00121BAC" w:rsidP="00907951">
      <w:pPr>
        <w:pStyle w:val="ListParagraph"/>
        <w:numPr>
          <w:ilvl w:val="0"/>
          <w:numId w:val="30"/>
        </w:numPr>
        <w:spacing w:after="120"/>
      </w:pPr>
      <w:r>
        <w:t xml:space="preserve">Has been created to provide a new item for open or arthroscopic excision of a </w:t>
      </w:r>
      <w:r w:rsidR="006F78ED">
        <w:t>ganglion</w:t>
      </w:r>
      <w:r>
        <w:t>, cyst or bursa around the knee.</w:t>
      </w:r>
    </w:p>
    <w:p w14:paraId="386FBE6E" w14:textId="746DB75D" w:rsidR="00121BAC" w:rsidRDefault="00121BAC" w:rsidP="00907951">
      <w:pPr>
        <w:pStyle w:val="ListParagraph"/>
        <w:numPr>
          <w:ilvl w:val="0"/>
          <w:numId w:val="30"/>
        </w:numPr>
        <w:spacing w:after="120"/>
      </w:pPr>
      <w:r>
        <w:t xml:space="preserve">The item </w:t>
      </w:r>
      <w:r w:rsidRPr="00121BAC">
        <w:t>is an independent procedure and cannot be claimed</w:t>
      </w:r>
      <w:r>
        <w:t xml:space="preserve"> with other surgical operations; in </w:t>
      </w:r>
      <w:r w:rsidRPr="00121BAC">
        <w:t>particular, the item cannot be claimed with additional arthroscopy items.</w:t>
      </w:r>
    </w:p>
    <w:p w14:paraId="3FC311C7" w14:textId="7EFBB744" w:rsidR="00121BAC" w:rsidRPr="00DC6A29" w:rsidRDefault="00121BAC" w:rsidP="00907951">
      <w:pPr>
        <w:pStyle w:val="ListParagraph"/>
        <w:numPr>
          <w:ilvl w:val="0"/>
          <w:numId w:val="30"/>
        </w:numPr>
        <w:spacing w:after="120"/>
      </w:pPr>
      <w:r w:rsidRPr="00121BAC">
        <w:t xml:space="preserve">Creating a specific item for around the knee prevents </w:t>
      </w:r>
      <w:r w:rsidR="00907951">
        <w:t xml:space="preserve">service </w:t>
      </w:r>
      <w:r w:rsidRPr="00121BAC">
        <w:t xml:space="preserve">gaps from appearing in the MBS and preserves patient access. </w:t>
      </w:r>
      <w:r w:rsidR="00DC6A29">
        <w:br/>
      </w:r>
    </w:p>
    <w:p w14:paraId="639E1CF6" w14:textId="7305C77E" w:rsidR="00501700" w:rsidRPr="00121BAC" w:rsidRDefault="00501FF0" w:rsidP="00907951">
      <w:pPr>
        <w:spacing w:after="120"/>
      </w:pPr>
      <w:r w:rsidRPr="00121BAC">
        <w:rPr>
          <w:b/>
        </w:rPr>
        <w:t>Knee Replacement (Primary)</w:t>
      </w:r>
    </w:p>
    <w:p w14:paraId="11C1FAB0" w14:textId="02197EB3" w:rsidR="00501FF0" w:rsidRPr="00501FF0" w:rsidRDefault="00501FF0" w:rsidP="00907951">
      <w:pPr>
        <w:spacing w:after="120"/>
      </w:pPr>
      <w:r>
        <w:t xml:space="preserve">Item </w:t>
      </w:r>
      <w:r w:rsidRPr="00501FF0">
        <w:t>49518:</w:t>
      </w:r>
    </w:p>
    <w:p w14:paraId="617813DD" w14:textId="0814FD39" w:rsidR="00501FF0" w:rsidRDefault="00501FF0" w:rsidP="00907951">
      <w:pPr>
        <w:pStyle w:val="ListParagraph"/>
        <w:numPr>
          <w:ilvl w:val="0"/>
          <w:numId w:val="5"/>
        </w:numPr>
        <w:spacing w:after="120"/>
      </w:pPr>
      <w:r w:rsidRPr="00501FF0">
        <w:t>Has been amended to clarify the item by indicating the complexity of the procedure through the use of revision components rather than bone grafting.</w:t>
      </w:r>
    </w:p>
    <w:p w14:paraId="1998EAC2" w14:textId="712E1BF6" w:rsidR="00501FF0" w:rsidRDefault="00501FF0" w:rsidP="00907951">
      <w:pPr>
        <w:pStyle w:val="ListParagraph"/>
        <w:numPr>
          <w:ilvl w:val="0"/>
          <w:numId w:val="5"/>
        </w:numPr>
        <w:spacing w:after="120"/>
      </w:pPr>
      <w:r>
        <w:t>T</w:t>
      </w:r>
      <w:r w:rsidRPr="00501FF0">
        <w:t>he it</w:t>
      </w:r>
      <w:r w:rsidR="00484F1A">
        <w:t>em includes revision of patello</w:t>
      </w:r>
      <w:r w:rsidRPr="00501FF0">
        <w:t xml:space="preserve">femoral joint replacement to total knee replacement, patellar resurfacing, </w:t>
      </w:r>
      <w:r>
        <w:t>and bone grafting, if performed.</w:t>
      </w:r>
    </w:p>
    <w:p w14:paraId="6B2EA25B" w14:textId="77777777" w:rsidR="00EA1D2E" w:rsidRDefault="00EA1D2E" w:rsidP="00907951">
      <w:pPr>
        <w:spacing w:after="120"/>
      </w:pPr>
    </w:p>
    <w:p w14:paraId="72286637" w14:textId="0AC2B88D" w:rsidR="00501FF0" w:rsidRPr="00501FF0" w:rsidRDefault="00501FF0" w:rsidP="00907951">
      <w:pPr>
        <w:spacing w:after="120"/>
      </w:pPr>
      <w:r w:rsidRPr="00501FF0">
        <w:t>Item 49519:</w:t>
      </w:r>
    </w:p>
    <w:p w14:paraId="5CB5E73B" w14:textId="77777777" w:rsidR="00501FF0" w:rsidRDefault="00501FF0" w:rsidP="00907951">
      <w:pPr>
        <w:pStyle w:val="ListParagraph"/>
        <w:numPr>
          <w:ilvl w:val="0"/>
          <w:numId w:val="5"/>
        </w:numPr>
        <w:spacing w:after="120"/>
      </w:pPr>
      <w:r w:rsidRPr="00501FF0">
        <w:t>Has been amended to clarify the item by indicating the complexity of the procedure through the use of revision components rather than bone grafting.</w:t>
      </w:r>
    </w:p>
    <w:p w14:paraId="4974A494" w14:textId="688F4ECC" w:rsidR="00501FF0" w:rsidRDefault="00501FF0" w:rsidP="00907951">
      <w:pPr>
        <w:pStyle w:val="ListParagraph"/>
        <w:numPr>
          <w:ilvl w:val="0"/>
          <w:numId w:val="5"/>
        </w:numPr>
        <w:spacing w:after="120"/>
      </w:pPr>
      <w:r>
        <w:t>T</w:t>
      </w:r>
      <w:r w:rsidRPr="00501FF0">
        <w:t>he item includes patella resurfacing and bone grafting</w:t>
      </w:r>
      <w:r>
        <w:t>, if performed.</w:t>
      </w:r>
    </w:p>
    <w:p w14:paraId="6E62E056" w14:textId="77777777" w:rsidR="00EA1D2E" w:rsidRDefault="00EA1D2E" w:rsidP="00907951">
      <w:pPr>
        <w:spacing w:after="120"/>
      </w:pPr>
    </w:p>
    <w:p w14:paraId="5EC0DB8A" w14:textId="2A893FD7" w:rsidR="00501FF0" w:rsidRPr="00501FF0" w:rsidRDefault="00501FF0" w:rsidP="00907951">
      <w:pPr>
        <w:spacing w:after="120"/>
      </w:pPr>
      <w:r w:rsidRPr="00501FF0">
        <w:t>Item 49521</w:t>
      </w:r>
      <w:r>
        <w:t xml:space="preserve"> and 49524</w:t>
      </w:r>
      <w:r w:rsidRPr="00501FF0">
        <w:t>:</w:t>
      </w:r>
    </w:p>
    <w:p w14:paraId="0815ACAA" w14:textId="481648C2" w:rsidR="00501FF0" w:rsidRPr="00501FF0" w:rsidRDefault="00501FF0" w:rsidP="00907951">
      <w:pPr>
        <w:pStyle w:val="ListParagraph"/>
        <w:numPr>
          <w:ilvl w:val="0"/>
          <w:numId w:val="6"/>
        </w:numPr>
        <w:spacing w:after="120"/>
      </w:pPr>
      <w:r>
        <w:t>Have</w:t>
      </w:r>
      <w:r w:rsidRPr="00501FF0">
        <w:t xml:space="preserve"> been amended to clarify the item by indicating the complexity of the procedure through the use of revision components rather than bone grafting.</w:t>
      </w:r>
    </w:p>
    <w:p w14:paraId="72AD82BA" w14:textId="3A430A92" w:rsidR="00501FF0" w:rsidRPr="00501FF0" w:rsidRDefault="00501FF0" w:rsidP="00907951">
      <w:pPr>
        <w:pStyle w:val="ListParagraph"/>
        <w:numPr>
          <w:ilvl w:val="0"/>
          <w:numId w:val="6"/>
        </w:numPr>
        <w:spacing w:after="120"/>
      </w:pPr>
      <w:r w:rsidRPr="00501FF0">
        <w:t>The service must involve the use of revision components to the femur or tibia.</w:t>
      </w:r>
    </w:p>
    <w:p w14:paraId="23ACCD7A" w14:textId="78E913DA" w:rsidR="00501FF0" w:rsidRPr="00501FF0" w:rsidRDefault="00501FF0" w:rsidP="00907951">
      <w:pPr>
        <w:pStyle w:val="ListParagraph"/>
        <w:numPr>
          <w:ilvl w:val="0"/>
          <w:numId w:val="6"/>
        </w:numPr>
        <w:spacing w:after="120"/>
      </w:pPr>
      <w:r w:rsidRPr="00501FF0">
        <w:t>The item</w:t>
      </w:r>
      <w:r>
        <w:t>s</w:t>
      </w:r>
      <w:r w:rsidRPr="00501FF0">
        <w:t xml:space="preserve"> includes ligament reconstruction, patellar resurfacing, and bone grafting, if performed.</w:t>
      </w:r>
      <w:r w:rsidR="00DC6A29">
        <w:br/>
      </w:r>
    </w:p>
    <w:p w14:paraId="4511D89E" w14:textId="6C8B7364" w:rsidR="00501FF0" w:rsidRPr="00501FF0" w:rsidRDefault="00501FF0" w:rsidP="00907951">
      <w:pPr>
        <w:spacing w:after="120"/>
        <w:rPr>
          <w:b/>
        </w:rPr>
      </w:pPr>
      <w:r w:rsidRPr="00501FF0">
        <w:rPr>
          <w:b/>
        </w:rPr>
        <w:t>Knee Replacement (</w:t>
      </w:r>
      <w:r w:rsidR="006F78ED" w:rsidRPr="00501FF0">
        <w:rPr>
          <w:b/>
        </w:rPr>
        <w:t>Revision</w:t>
      </w:r>
      <w:r w:rsidR="0079304C">
        <w:rPr>
          <w:b/>
        </w:rPr>
        <w:t>)</w:t>
      </w:r>
    </w:p>
    <w:p w14:paraId="634130CA" w14:textId="1A3021C3" w:rsidR="00501FF0" w:rsidRPr="00501FF0" w:rsidRDefault="00501FF0" w:rsidP="00907951">
      <w:pPr>
        <w:spacing w:after="120"/>
      </w:pPr>
      <w:r>
        <w:t>Item 49527</w:t>
      </w:r>
      <w:r w:rsidR="00680C4A">
        <w:t>:</w:t>
      </w:r>
    </w:p>
    <w:p w14:paraId="3D44505A" w14:textId="77777777" w:rsidR="00680C4A" w:rsidRDefault="00680C4A" w:rsidP="00907951">
      <w:pPr>
        <w:pStyle w:val="ListParagraph"/>
        <w:numPr>
          <w:ilvl w:val="0"/>
          <w:numId w:val="7"/>
        </w:numPr>
        <w:spacing w:after="120"/>
      </w:pPr>
      <w:r>
        <w:t xml:space="preserve">Has been amended to clarify that </w:t>
      </w:r>
      <w:r w:rsidRPr="00680C4A">
        <w:t>the item should be use</w:t>
      </w:r>
      <w:r>
        <w:t>d for minor revision procedures.</w:t>
      </w:r>
    </w:p>
    <w:p w14:paraId="09CAFA4F" w14:textId="7E9BF627" w:rsidR="00501FF0" w:rsidRPr="00501FF0" w:rsidRDefault="00680C4A" w:rsidP="00907951">
      <w:pPr>
        <w:pStyle w:val="ListParagraph"/>
        <w:numPr>
          <w:ilvl w:val="0"/>
          <w:numId w:val="7"/>
        </w:numPr>
        <w:spacing w:after="120"/>
      </w:pPr>
      <w:r>
        <w:t>The item includes</w:t>
      </w:r>
      <w:r w:rsidRPr="00680C4A">
        <w:t xml:space="preserve"> exchange of polyethylene component (including </w:t>
      </w:r>
      <w:proofErr w:type="spellStart"/>
      <w:r w:rsidRPr="00680C4A">
        <w:t>uni</w:t>
      </w:r>
      <w:proofErr w:type="spellEnd"/>
      <w:r w:rsidRPr="00680C4A">
        <w:t>), and/or insertion of patellar component.</w:t>
      </w:r>
    </w:p>
    <w:p w14:paraId="2EC7F2D6" w14:textId="77777777" w:rsidR="00EA1D2E" w:rsidRDefault="00EA1D2E" w:rsidP="00907951">
      <w:pPr>
        <w:spacing w:after="120"/>
      </w:pPr>
    </w:p>
    <w:p w14:paraId="4776C5DE" w14:textId="77777777" w:rsidR="00EA1D2E" w:rsidRDefault="00EA1D2E" w:rsidP="00907951">
      <w:pPr>
        <w:spacing w:after="120"/>
      </w:pPr>
    </w:p>
    <w:p w14:paraId="7B0EC4C0" w14:textId="0E9D66A0" w:rsidR="00501FF0" w:rsidRPr="00501FF0" w:rsidRDefault="00680C4A" w:rsidP="00907951">
      <w:pPr>
        <w:spacing w:after="120"/>
      </w:pPr>
      <w:r>
        <w:lastRenderedPageBreak/>
        <w:t>Item 49530 and 49533:</w:t>
      </w:r>
    </w:p>
    <w:p w14:paraId="40554ED2" w14:textId="42DA7CBD" w:rsidR="00501FF0" w:rsidRDefault="00680C4A" w:rsidP="00907951">
      <w:pPr>
        <w:pStyle w:val="ListParagraph"/>
        <w:numPr>
          <w:ilvl w:val="0"/>
          <w:numId w:val="8"/>
        </w:numPr>
        <w:spacing w:after="120"/>
      </w:pPr>
      <w:r>
        <w:t xml:space="preserve">Have been amended to clarify </w:t>
      </w:r>
      <w:r w:rsidRPr="00680C4A">
        <w:t xml:space="preserve">that the item requires exchange of either femoral or tibial component and should not be used for revision of </w:t>
      </w:r>
      <w:proofErr w:type="spellStart"/>
      <w:r w:rsidRPr="00680C4A">
        <w:t>unicompartmental</w:t>
      </w:r>
      <w:proofErr w:type="spellEnd"/>
      <w:r w:rsidRPr="00680C4A">
        <w:t xml:space="preserve"> with </w:t>
      </w:r>
      <w:proofErr w:type="spellStart"/>
      <w:r w:rsidRPr="00680C4A">
        <w:t>unicompartmental</w:t>
      </w:r>
      <w:proofErr w:type="spellEnd"/>
      <w:r w:rsidRPr="00680C4A">
        <w:t xml:space="preserve"> implants.</w:t>
      </w:r>
    </w:p>
    <w:p w14:paraId="5134059E" w14:textId="5ABDEF11" w:rsidR="00680C4A" w:rsidRPr="00501FF0" w:rsidRDefault="00680C4A" w:rsidP="00907951">
      <w:pPr>
        <w:pStyle w:val="ListParagraph"/>
        <w:numPr>
          <w:ilvl w:val="0"/>
          <w:numId w:val="8"/>
        </w:numPr>
        <w:spacing w:after="120"/>
      </w:pPr>
      <w:r>
        <w:t xml:space="preserve">The item includes patellar resurfacing and bone grafting, if performed. </w:t>
      </w:r>
    </w:p>
    <w:p w14:paraId="0E42C167" w14:textId="77777777" w:rsidR="00EA1D2E" w:rsidRDefault="00EA1D2E" w:rsidP="00907951">
      <w:pPr>
        <w:spacing w:after="120"/>
      </w:pPr>
    </w:p>
    <w:p w14:paraId="5F194394" w14:textId="6976D127" w:rsidR="00501FF0" w:rsidRDefault="00680C4A" w:rsidP="00907951">
      <w:pPr>
        <w:spacing w:after="120"/>
      </w:pPr>
      <w:r>
        <w:t>Item 49525:</w:t>
      </w:r>
    </w:p>
    <w:p w14:paraId="1AD7CB77" w14:textId="46C742E1" w:rsidR="00680C4A" w:rsidRDefault="00680C4A" w:rsidP="00907951">
      <w:pPr>
        <w:pStyle w:val="ListParagraph"/>
        <w:numPr>
          <w:ilvl w:val="0"/>
          <w:numId w:val="9"/>
        </w:numPr>
        <w:spacing w:after="120"/>
      </w:pPr>
      <w:r>
        <w:t>Has been created to provide a new item for r</w:t>
      </w:r>
      <w:r w:rsidRPr="00680C4A">
        <w:t xml:space="preserve">evision of </w:t>
      </w:r>
      <w:proofErr w:type="spellStart"/>
      <w:r w:rsidRPr="00680C4A">
        <w:t>unicompartmental</w:t>
      </w:r>
      <w:proofErr w:type="spellEnd"/>
      <w:r w:rsidRPr="00680C4A">
        <w:t xml:space="preserve"> arthroplasty with </w:t>
      </w:r>
      <w:proofErr w:type="spellStart"/>
      <w:r w:rsidRPr="00680C4A">
        <w:t>unicompartmental</w:t>
      </w:r>
      <w:proofErr w:type="spellEnd"/>
      <w:r w:rsidRPr="00680C4A">
        <w:t xml:space="preserve"> components.</w:t>
      </w:r>
    </w:p>
    <w:p w14:paraId="655D8E6C" w14:textId="2424AB41" w:rsidR="00680C4A" w:rsidRPr="00501FF0" w:rsidRDefault="00680C4A" w:rsidP="00907951">
      <w:pPr>
        <w:pStyle w:val="ListParagraph"/>
        <w:numPr>
          <w:ilvl w:val="0"/>
          <w:numId w:val="9"/>
        </w:numPr>
        <w:spacing w:after="120"/>
      </w:pPr>
      <w:r>
        <w:t xml:space="preserve">The item </w:t>
      </w:r>
      <w:r w:rsidRPr="00680C4A">
        <w:t>accurately describe the complexity of the procedure</w:t>
      </w:r>
      <w:r>
        <w:t xml:space="preserve"> through reference to the components being revised.</w:t>
      </w:r>
    </w:p>
    <w:p w14:paraId="55AE03FF" w14:textId="77777777" w:rsidR="00EA1D2E" w:rsidRDefault="00EA1D2E" w:rsidP="00907951">
      <w:pPr>
        <w:spacing w:after="120"/>
      </w:pPr>
    </w:p>
    <w:p w14:paraId="18D2E086" w14:textId="440D84D7" w:rsidR="00501FF0" w:rsidRDefault="00680C4A" w:rsidP="00907951">
      <w:pPr>
        <w:spacing w:after="120"/>
      </w:pPr>
      <w:r>
        <w:t>Item 49534:</w:t>
      </w:r>
    </w:p>
    <w:p w14:paraId="7868E991" w14:textId="668FDBE5" w:rsidR="00680C4A" w:rsidRDefault="00680C4A" w:rsidP="00907951">
      <w:pPr>
        <w:pStyle w:val="ListParagraph"/>
        <w:numPr>
          <w:ilvl w:val="0"/>
          <w:numId w:val="10"/>
        </w:numPr>
        <w:spacing w:after="120"/>
      </w:pPr>
      <w:r>
        <w:t xml:space="preserve">Has been amended to better reflect the item is intended for use </w:t>
      </w:r>
      <w:r w:rsidRPr="00680C4A">
        <w:t>in cases of failed non-operative treatment</w:t>
      </w:r>
      <w:r>
        <w:t>.</w:t>
      </w:r>
    </w:p>
    <w:p w14:paraId="20CA1520" w14:textId="755A88BA" w:rsidR="00680C4A" w:rsidRPr="00501FF0" w:rsidRDefault="00680C4A" w:rsidP="00907951">
      <w:pPr>
        <w:pStyle w:val="ListParagraph"/>
        <w:numPr>
          <w:ilvl w:val="0"/>
          <w:numId w:val="10"/>
        </w:numPr>
        <w:spacing w:after="120"/>
      </w:pPr>
      <w:r>
        <w:t xml:space="preserve">The phrase </w:t>
      </w:r>
      <w:r w:rsidRPr="00680C4A">
        <w:t xml:space="preserve">‘total replacement arthroplasty’ </w:t>
      </w:r>
      <w:r>
        <w:t xml:space="preserve">has been replaced </w:t>
      </w:r>
      <w:r w:rsidRPr="00680C4A">
        <w:t>with ‘replacement of patella and trochlea’.</w:t>
      </w:r>
    </w:p>
    <w:p w14:paraId="10496743" w14:textId="77777777" w:rsidR="00EA1D2E" w:rsidRDefault="00EA1D2E" w:rsidP="00907951">
      <w:pPr>
        <w:spacing w:after="120"/>
      </w:pPr>
    </w:p>
    <w:p w14:paraId="43EDA073" w14:textId="7343EF8A" w:rsidR="008448E2" w:rsidRDefault="008448E2" w:rsidP="00907951">
      <w:pPr>
        <w:spacing w:after="120"/>
      </w:pPr>
      <w:r>
        <w:t>Item 49554:</w:t>
      </w:r>
    </w:p>
    <w:p w14:paraId="0E312F8D" w14:textId="19E9EBC9" w:rsidR="008448E2" w:rsidRDefault="008448E2" w:rsidP="00907951">
      <w:pPr>
        <w:pStyle w:val="ListParagraph"/>
        <w:numPr>
          <w:ilvl w:val="0"/>
          <w:numId w:val="15"/>
        </w:numPr>
        <w:spacing w:after="120"/>
      </w:pPr>
      <w:r>
        <w:t xml:space="preserve">Has been amended to specify that the item </w:t>
      </w:r>
      <w:r w:rsidR="00A07A39">
        <w:t xml:space="preserve">cannot be </w:t>
      </w:r>
      <w:r w:rsidRPr="008448E2">
        <w:t xml:space="preserve">co-claimed with proposed bone graft </w:t>
      </w:r>
      <w:r w:rsidR="00EA1D2E">
        <w:t>items</w:t>
      </w:r>
      <w:r w:rsidRPr="008448E2">
        <w:t>.</w:t>
      </w:r>
    </w:p>
    <w:p w14:paraId="19945337" w14:textId="3C062085" w:rsidR="00263E02" w:rsidRPr="00263E02" w:rsidRDefault="008448E2" w:rsidP="00DC6A29">
      <w:pPr>
        <w:pStyle w:val="ListParagraph"/>
        <w:numPr>
          <w:ilvl w:val="0"/>
          <w:numId w:val="15"/>
        </w:numPr>
        <w:spacing w:after="120"/>
      </w:pPr>
      <w:r>
        <w:t>The updated item modernises the MBS and describes a complete medical service.</w:t>
      </w:r>
      <w:r w:rsidR="00DC6A29">
        <w:br/>
      </w:r>
    </w:p>
    <w:p w14:paraId="1C435B96" w14:textId="38FA4AD4" w:rsidR="00501FF0" w:rsidRPr="00680C4A" w:rsidRDefault="00680C4A" w:rsidP="00907951">
      <w:pPr>
        <w:spacing w:after="120"/>
        <w:rPr>
          <w:b/>
        </w:rPr>
      </w:pPr>
      <w:r w:rsidRPr="00680C4A">
        <w:rPr>
          <w:b/>
        </w:rPr>
        <w:t xml:space="preserve">Knee Repair and Reconstruction </w:t>
      </w:r>
    </w:p>
    <w:p w14:paraId="6DBFEDA1" w14:textId="1675ADD7" w:rsidR="00680C4A" w:rsidRDefault="00680C4A" w:rsidP="00907951">
      <w:pPr>
        <w:spacing w:after="120"/>
      </w:pPr>
      <w:r>
        <w:t>Item 49536:</w:t>
      </w:r>
    </w:p>
    <w:p w14:paraId="09C81291" w14:textId="329DC976" w:rsidR="00680C4A" w:rsidRDefault="00680C4A" w:rsidP="00907951">
      <w:pPr>
        <w:pStyle w:val="ListParagraph"/>
        <w:numPr>
          <w:ilvl w:val="0"/>
          <w:numId w:val="11"/>
        </w:numPr>
        <w:spacing w:after="120"/>
      </w:pPr>
      <w:r>
        <w:t xml:space="preserve">Has been amended to </w:t>
      </w:r>
      <w:r w:rsidR="006F78ED" w:rsidRPr="00680C4A">
        <w:t>clarify</w:t>
      </w:r>
      <w:r w:rsidRPr="00680C4A">
        <w:t xml:space="preserve"> the components included in the procedure to better guide appropriate use.</w:t>
      </w:r>
    </w:p>
    <w:p w14:paraId="3B9ACB1A" w14:textId="4AC10AD1" w:rsidR="00680C4A" w:rsidRDefault="002E761E" w:rsidP="00907951">
      <w:pPr>
        <w:pStyle w:val="ListParagraph"/>
        <w:numPr>
          <w:ilvl w:val="0"/>
          <w:numId w:val="11"/>
        </w:numPr>
        <w:spacing w:after="120"/>
      </w:pPr>
      <w:r>
        <w:t>The term</w:t>
      </w:r>
      <w:r w:rsidR="00680C4A" w:rsidRPr="00680C4A">
        <w:t xml:space="preserve"> ‘reconstruction’ </w:t>
      </w:r>
      <w:r>
        <w:t>has been replaced with the phrase</w:t>
      </w:r>
      <w:r w:rsidR="00680C4A" w:rsidRPr="00680C4A">
        <w:t xml:space="preserve"> ‘for chronic</w:t>
      </w:r>
      <w:r>
        <w:t xml:space="preserve"> instability’ to highlight that the item should be used for ligament repair.</w:t>
      </w:r>
    </w:p>
    <w:p w14:paraId="2E187B53" w14:textId="22913354" w:rsidR="00680C4A" w:rsidRPr="00680C4A" w:rsidRDefault="00680C4A" w:rsidP="00907951">
      <w:pPr>
        <w:pStyle w:val="ListParagraph"/>
        <w:numPr>
          <w:ilvl w:val="0"/>
          <w:numId w:val="11"/>
        </w:numPr>
        <w:spacing w:after="120"/>
      </w:pPr>
      <w:r>
        <w:t xml:space="preserve">The item </w:t>
      </w:r>
      <w:r w:rsidRPr="00680C4A">
        <w:t>includes any associated intra-articular knee surgery.</w:t>
      </w:r>
    </w:p>
    <w:p w14:paraId="0AA6DD8B" w14:textId="77777777" w:rsidR="00EA1D2E" w:rsidRDefault="00EA1D2E" w:rsidP="00907951">
      <w:pPr>
        <w:spacing w:after="120"/>
      </w:pPr>
    </w:p>
    <w:p w14:paraId="128DCB2E" w14:textId="08C1B76F" w:rsidR="00680C4A" w:rsidRDefault="002E761E" w:rsidP="00907951">
      <w:pPr>
        <w:spacing w:after="120"/>
      </w:pPr>
      <w:r>
        <w:t>Items 49539 and 49542:</w:t>
      </w:r>
    </w:p>
    <w:p w14:paraId="40D24B90" w14:textId="5C303207" w:rsidR="002E761E" w:rsidRDefault="002E761E" w:rsidP="00907951">
      <w:pPr>
        <w:pStyle w:val="ListParagraph"/>
        <w:numPr>
          <w:ilvl w:val="0"/>
          <w:numId w:val="12"/>
        </w:numPr>
        <w:spacing w:after="120"/>
      </w:pPr>
      <w:r>
        <w:t>Item 49539 has been consolidated under item 49542 to provide an update</w:t>
      </w:r>
      <w:r w:rsidR="00A07A39">
        <w:t>d</w:t>
      </w:r>
      <w:r>
        <w:t xml:space="preserve"> item for anterior or posterior cruciate ligaments reconstruction.</w:t>
      </w:r>
    </w:p>
    <w:p w14:paraId="7F3594BF" w14:textId="6086C666" w:rsidR="002E761E" w:rsidRPr="00680C4A" w:rsidRDefault="002E761E" w:rsidP="00907951">
      <w:pPr>
        <w:pStyle w:val="ListParagraph"/>
        <w:numPr>
          <w:ilvl w:val="0"/>
          <w:numId w:val="12"/>
        </w:numPr>
        <w:spacing w:after="120"/>
      </w:pPr>
      <w:r>
        <w:t xml:space="preserve">The </w:t>
      </w:r>
      <w:r w:rsidRPr="002E761E">
        <w:t>item includes graft harvest, donor site repair, meniscal repair, collateral ligament repair and associated intraarticular procedures.</w:t>
      </w:r>
    </w:p>
    <w:p w14:paraId="12B1A669" w14:textId="77777777" w:rsidR="00EA1D2E" w:rsidRDefault="00EA1D2E" w:rsidP="00907951">
      <w:pPr>
        <w:spacing w:after="120"/>
      </w:pPr>
    </w:p>
    <w:p w14:paraId="5CE0527A" w14:textId="656299C2" w:rsidR="00680C4A" w:rsidRDefault="002E761E" w:rsidP="00907951">
      <w:pPr>
        <w:spacing w:after="120"/>
      </w:pPr>
      <w:r>
        <w:lastRenderedPageBreak/>
        <w:t>Item 49544:</w:t>
      </w:r>
    </w:p>
    <w:p w14:paraId="6B0D73E0" w14:textId="445013F9" w:rsidR="002E761E" w:rsidRDefault="002E761E" w:rsidP="00907951">
      <w:pPr>
        <w:pStyle w:val="ListParagraph"/>
        <w:numPr>
          <w:ilvl w:val="0"/>
          <w:numId w:val="13"/>
        </w:numPr>
        <w:spacing w:after="120"/>
      </w:pPr>
      <w:r>
        <w:t>Has been created to provide a new item for multi-ligament reconstruction.</w:t>
      </w:r>
    </w:p>
    <w:p w14:paraId="5A606AA0" w14:textId="6203D3C3" w:rsidR="002E761E" w:rsidRPr="002E761E" w:rsidRDefault="002E761E" w:rsidP="00907951">
      <w:pPr>
        <w:pStyle w:val="ListParagraph"/>
        <w:numPr>
          <w:ilvl w:val="0"/>
          <w:numId w:val="13"/>
        </w:numPr>
        <w:spacing w:after="120"/>
      </w:pPr>
      <w:r>
        <w:t>T</w:t>
      </w:r>
      <w:r w:rsidRPr="002E761E">
        <w:t xml:space="preserve">he </w:t>
      </w:r>
      <w:r>
        <w:t>updated</w:t>
      </w:r>
      <w:r w:rsidRPr="002E761E">
        <w:t xml:space="preserve"> item is a complete medical service and should not be co-claimed with other tendon or ligament transfer items</w:t>
      </w:r>
      <w:r>
        <w:t>.</w:t>
      </w:r>
    </w:p>
    <w:p w14:paraId="7A50A6ED" w14:textId="77777777" w:rsidR="00EA1D2E" w:rsidRDefault="00EA1D2E" w:rsidP="00EA1D2E">
      <w:pPr>
        <w:spacing w:line="259" w:lineRule="auto"/>
      </w:pPr>
    </w:p>
    <w:p w14:paraId="6DC30F75" w14:textId="101E6D38" w:rsidR="00680C4A" w:rsidRPr="00EA1D2E" w:rsidRDefault="002E761E" w:rsidP="00EA1D2E">
      <w:pPr>
        <w:spacing w:line="259" w:lineRule="auto"/>
      </w:pPr>
      <w:r w:rsidRPr="002E761E">
        <w:rPr>
          <w:b/>
        </w:rPr>
        <w:t>Knee Arthrodesis</w:t>
      </w:r>
    </w:p>
    <w:p w14:paraId="0E91F63A" w14:textId="5A63A7EB" w:rsidR="00680C4A" w:rsidRDefault="002E761E" w:rsidP="00907951">
      <w:pPr>
        <w:spacing w:after="120"/>
      </w:pPr>
      <w:r>
        <w:t>I</w:t>
      </w:r>
      <w:r w:rsidR="008448E2">
        <w:t>tems 49512 and</w:t>
      </w:r>
      <w:r>
        <w:t xml:space="preserve"> 49545:</w:t>
      </w:r>
    </w:p>
    <w:p w14:paraId="17326400" w14:textId="18FBED76" w:rsidR="002E761E" w:rsidRDefault="002E761E" w:rsidP="00907951">
      <w:pPr>
        <w:pStyle w:val="ListParagraph"/>
        <w:numPr>
          <w:ilvl w:val="0"/>
          <w:numId w:val="14"/>
        </w:numPr>
        <w:spacing w:after="120"/>
      </w:pPr>
      <w:r>
        <w:t xml:space="preserve">Item 49545 has been consolidated under item 49512 </w:t>
      </w:r>
      <w:r w:rsidR="008448E2">
        <w:t>for combined primary and revision arthrodesis in an effort to make the MBS more user friendly.</w:t>
      </w:r>
    </w:p>
    <w:p w14:paraId="3BCB8A8C" w14:textId="1494666B" w:rsidR="00E11077" w:rsidRDefault="008448E2" w:rsidP="00E11077">
      <w:pPr>
        <w:pStyle w:val="ListParagraph"/>
        <w:numPr>
          <w:ilvl w:val="0"/>
          <w:numId w:val="14"/>
        </w:numPr>
        <w:spacing w:after="120"/>
      </w:pPr>
      <w:r>
        <w:t>Amendments reflect that the item covers a</w:t>
      </w:r>
      <w:r w:rsidR="00E11077">
        <w:t>rthrodesis by any method.</w:t>
      </w:r>
      <w:r w:rsidR="00DC6A29">
        <w:br/>
      </w:r>
    </w:p>
    <w:p w14:paraId="64B1EABC" w14:textId="253FEB4C" w:rsidR="00680C4A" w:rsidRPr="00771DE9" w:rsidRDefault="008448E2" w:rsidP="00907951">
      <w:pPr>
        <w:spacing w:after="120"/>
      </w:pPr>
      <w:r w:rsidRPr="00771DE9">
        <w:rPr>
          <w:b/>
        </w:rPr>
        <w:t>Knee Arthroscopy</w:t>
      </w:r>
    </w:p>
    <w:p w14:paraId="6137F679" w14:textId="3B35B56D" w:rsidR="008448E2" w:rsidRPr="008448E2" w:rsidRDefault="008448E2" w:rsidP="00907951">
      <w:pPr>
        <w:pStyle w:val="ListParagraph"/>
        <w:numPr>
          <w:ilvl w:val="0"/>
          <w:numId w:val="31"/>
        </w:numPr>
        <w:spacing w:after="120"/>
      </w:pPr>
      <w:r w:rsidRPr="008448E2">
        <w:t>Items 49557, 49558, 49559, 49560, 49561, 49562 and 49563:</w:t>
      </w:r>
    </w:p>
    <w:p w14:paraId="2F6B6248" w14:textId="5B8B6C19" w:rsidR="00680C4A" w:rsidRDefault="008448E2" w:rsidP="00907951">
      <w:pPr>
        <w:pStyle w:val="ListParagraph"/>
        <w:numPr>
          <w:ilvl w:val="0"/>
          <w:numId w:val="31"/>
        </w:numPr>
        <w:spacing w:after="120"/>
      </w:pPr>
      <w:r>
        <w:t>Have been replaced with nine new items for knee arthroscopy, organised into three tiers of complexity (see below).</w:t>
      </w:r>
    </w:p>
    <w:p w14:paraId="1908EF90" w14:textId="77777777" w:rsidR="008448E2" w:rsidRDefault="008448E2" w:rsidP="00907951">
      <w:pPr>
        <w:pStyle w:val="ListParagraph"/>
        <w:numPr>
          <w:ilvl w:val="0"/>
          <w:numId w:val="31"/>
        </w:numPr>
        <w:spacing w:after="120"/>
      </w:pPr>
      <w:r w:rsidRPr="008448E2">
        <w:t>Only a single arthroscopy item for each procedur</w:t>
      </w:r>
      <w:r>
        <w:t xml:space="preserve">e may be utilised per knee. </w:t>
      </w:r>
    </w:p>
    <w:p w14:paraId="13909D7D" w14:textId="77777777" w:rsidR="00771DE9" w:rsidRDefault="008448E2" w:rsidP="00907951">
      <w:pPr>
        <w:pStyle w:val="ListParagraph"/>
        <w:numPr>
          <w:ilvl w:val="0"/>
          <w:numId w:val="31"/>
        </w:numPr>
        <w:spacing w:after="120"/>
      </w:pPr>
      <w:r>
        <w:t>The</w:t>
      </w:r>
      <w:r w:rsidRPr="008448E2">
        <w:t xml:space="preserve"> item </w:t>
      </w:r>
      <w:r>
        <w:t xml:space="preserve">billed </w:t>
      </w:r>
      <w:r w:rsidRPr="008448E2">
        <w:t>must be for the most complex procedure undertaken and must not be utilised in conjunction with any other knee arthroscopy item.</w:t>
      </w:r>
    </w:p>
    <w:p w14:paraId="4D6BC4E6" w14:textId="7380141D" w:rsidR="00680C4A" w:rsidRPr="00771DE9" w:rsidRDefault="008448E2" w:rsidP="00907951">
      <w:pPr>
        <w:pStyle w:val="ListParagraph"/>
        <w:numPr>
          <w:ilvl w:val="0"/>
          <w:numId w:val="31"/>
        </w:numPr>
        <w:spacing w:after="120"/>
      </w:pPr>
      <w:r w:rsidRPr="00771DE9">
        <w:rPr>
          <w:i/>
        </w:rPr>
        <w:t>Tier one (item 49570):</w:t>
      </w:r>
    </w:p>
    <w:p w14:paraId="60266DF1" w14:textId="4F207F51" w:rsidR="00CB1323" w:rsidRPr="00680C4A" w:rsidRDefault="008448E2" w:rsidP="00907951">
      <w:pPr>
        <w:pStyle w:val="ListParagraph"/>
        <w:numPr>
          <w:ilvl w:val="0"/>
          <w:numId w:val="32"/>
        </w:numPr>
        <w:spacing w:after="120"/>
      </w:pPr>
      <w:r>
        <w:t xml:space="preserve">Covers </w:t>
      </w:r>
      <w:r w:rsidR="00CB1323">
        <w:t>basic diagnostic arthroscopy (where the diagnosis is uncertain).</w:t>
      </w:r>
    </w:p>
    <w:p w14:paraId="1BE92F08" w14:textId="39D75606" w:rsidR="00680C4A" w:rsidRPr="00771DE9" w:rsidRDefault="008448E2" w:rsidP="00907951">
      <w:pPr>
        <w:pStyle w:val="ListParagraph"/>
        <w:numPr>
          <w:ilvl w:val="0"/>
          <w:numId w:val="31"/>
        </w:numPr>
        <w:spacing w:after="120"/>
        <w:rPr>
          <w:i/>
        </w:rPr>
      </w:pPr>
      <w:r w:rsidRPr="00771DE9">
        <w:rPr>
          <w:i/>
        </w:rPr>
        <w:t>Tier two (items 49572, 49574, 49576, 49578 and 49580)</w:t>
      </w:r>
    </w:p>
    <w:p w14:paraId="399EDE52" w14:textId="3D54E40B" w:rsidR="00CB1323" w:rsidRPr="00CB1323" w:rsidRDefault="00CB1323" w:rsidP="00907951">
      <w:pPr>
        <w:pStyle w:val="ListParagraph"/>
        <w:numPr>
          <w:ilvl w:val="0"/>
          <w:numId w:val="32"/>
        </w:numPr>
        <w:spacing w:after="120"/>
      </w:pPr>
      <w:r>
        <w:t>Covers medium complexity arthroscopy.</w:t>
      </w:r>
    </w:p>
    <w:p w14:paraId="2A2AF9FD" w14:textId="786C48DF" w:rsidR="00680C4A" w:rsidRDefault="00CB1323" w:rsidP="00907951">
      <w:pPr>
        <w:pStyle w:val="ListParagraph"/>
        <w:numPr>
          <w:ilvl w:val="0"/>
          <w:numId w:val="32"/>
        </w:numPr>
        <w:spacing w:after="120"/>
      </w:pPr>
      <w:r>
        <w:t xml:space="preserve">These include services for partial </w:t>
      </w:r>
      <w:proofErr w:type="spellStart"/>
      <w:r>
        <w:t>meniscetomy</w:t>
      </w:r>
      <w:proofErr w:type="spellEnd"/>
      <w:r>
        <w:t xml:space="preserve"> (for traumatic or a-traumatic meniscus tear), removal of loose bodies, treatment of chondral lesions and soft tissue release.</w:t>
      </w:r>
    </w:p>
    <w:p w14:paraId="5885BBC0" w14:textId="41A2932D" w:rsidR="008448E2" w:rsidRPr="00771DE9" w:rsidRDefault="008448E2" w:rsidP="00907951">
      <w:pPr>
        <w:pStyle w:val="ListParagraph"/>
        <w:numPr>
          <w:ilvl w:val="0"/>
          <w:numId w:val="31"/>
        </w:numPr>
        <w:spacing w:after="120"/>
        <w:rPr>
          <w:i/>
        </w:rPr>
      </w:pPr>
      <w:r w:rsidRPr="00771DE9">
        <w:rPr>
          <w:i/>
        </w:rPr>
        <w:t>Tier three (items 49582, 49584 and 49586)</w:t>
      </w:r>
      <w:r w:rsidR="00CB1323" w:rsidRPr="00771DE9">
        <w:rPr>
          <w:i/>
        </w:rPr>
        <w:t>:</w:t>
      </w:r>
    </w:p>
    <w:p w14:paraId="5B2B5EB0" w14:textId="337CB0A2" w:rsidR="00680C4A" w:rsidRDefault="00CB1323" w:rsidP="00907951">
      <w:pPr>
        <w:pStyle w:val="ListParagraph"/>
        <w:numPr>
          <w:ilvl w:val="0"/>
          <w:numId w:val="32"/>
        </w:numPr>
        <w:spacing w:after="120"/>
      </w:pPr>
      <w:r>
        <w:t xml:space="preserve">Cover </w:t>
      </w:r>
      <w:r w:rsidR="006F78ED">
        <w:t>complex</w:t>
      </w:r>
      <w:r>
        <w:t xml:space="preserve"> knee arthroscopy.</w:t>
      </w:r>
    </w:p>
    <w:p w14:paraId="09AEA8E8" w14:textId="72978C3B" w:rsidR="00CB1323" w:rsidRPr="00680C4A" w:rsidRDefault="00CB1323" w:rsidP="00907951">
      <w:pPr>
        <w:pStyle w:val="ListParagraph"/>
        <w:numPr>
          <w:ilvl w:val="0"/>
          <w:numId w:val="32"/>
        </w:numPr>
        <w:spacing w:after="120"/>
      </w:pPr>
      <w:r>
        <w:t xml:space="preserve">These include services for chondral, osteochondral and meniscal graft, meniscal </w:t>
      </w:r>
      <w:r w:rsidR="006F78ED">
        <w:t>repair</w:t>
      </w:r>
      <w:r>
        <w:t xml:space="preserve"> and </w:t>
      </w:r>
      <w:r w:rsidRPr="00CB1323">
        <w:t>arthroscopic syn</w:t>
      </w:r>
      <w:r w:rsidR="002859D5">
        <w:t>ovectomy.</w:t>
      </w:r>
    </w:p>
    <w:p w14:paraId="19151E6B" w14:textId="5FF6521A" w:rsidR="00D13C21" w:rsidRDefault="00D13C21" w:rsidP="00907951">
      <w:pPr>
        <w:spacing w:after="120"/>
      </w:pPr>
      <w:r>
        <w:t>A</w:t>
      </w:r>
      <w:r w:rsidRPr="00D13C21">
        <w:t xml:space="preserve">n explanatory note has been created to guide appropriate claiming of these items. </w:t>
      </w:r>
      <w:r>
        <w:t xml:space="preserve">For patients with uncomplicated osteoarthritis it is expected that </w:t>
      </w:r>
      <w:r w:rsidRPr="00D13C21">
        <w:t>arthroscopy should only be performed in patients with surgeon-confirmed obstructive symptoms. Patient selection for knee arthroscopy in the presence of osteoarthritis should conform to the October 2016 Position Statement from the Australian Knee Society on Arthroscopic Surgery of the Knee.</w:t>
      </w:r>
    </w:p>
    <w:p w14:paraId="2F6A80C4" w14:textId="77777777" w:rsidR="00D13C21" w:rsidRDefault="00D13C21" w:rsidP="00907951">
      <w:pPr>
        <w:spacing w:after="120"/>
      </w:pPr>
    </w:p>
    <w:p w14:paraId="74E668A7" w14:textId="64370FEA" w:rsidR="00680C4A" w:rsidRDefault="00CB1323" w:rsidP="00907951">
      <w:pPr>
        <w:spacing w:after="120"/>
      </w:pPr>
      <w:r>
        <w:lastRenderedPageBreak/>
        <w:t>Item 49564:</w:t>
      </w:r>
    </w:p>
    <w:p w14:paraId="5F8E0B41" w14:textId="2289144E" w:rsidR="00CB1323" w:rsidRDefault="00CB1323" w:rsidP="00907951">
      <w:pPr>
        <w:pStyle w:val="ListParagraph"/>
        <w:numPr>
          <w:ilvl w:val="0"/>
          <w:numId w:val="16"/>
        </w:numPr>
        <w:spacing w:after="120"/>
      </w:pPr>
      <w:r>
        <w:t>Has been amended to specify the included elements of the procedure.</w:t>
      </w:r>
    </w:p>
    <w:p w14:paraId="2175A35D" w14:textId="7BE4EB0C" w:rsidR="00CB1323" w:rsidRPr="00680C4A" w:rsidRDefault="00CB1323" w:rsidP="00907951">
      <w:pPr>
        <w:pStyle w:val="ListParagraph"/>
        <w:numPr>
          <w:ilvl w:val="0"/>
          <w:numId w:val="16"/>
        </w:numPr>
        <w:spacing w:after="120"/>
      </w:pPr>
      <w:r>
        <w:t xml:space="preserve">This includes </w:t>
      </w:r>
      <w:r w:rsidRPr="00CB1323">
        <w:t>soft tissue reconstruction and tendon transfer; or tibial tuberosity transfer with bone graft and internal fixation.</w:t>
      </w:r>
    </w:p>
    <w:p w14:paraId="5F157E99" w14:textId="670FE0E9" w:rsidR="00680C4A" w:rsidRDefault="000E7A62" w:rsidP="00907951">
      <w:pPr>
        <w:spacing w:after="120"/>
      </w:pPr>
      <w:r>
        <w:t>Item 49565:</w:t>
      </w:r>
    </w:p>
    <w:p w14:paraId="6734265B" w14:textId="3F6F8360" w:rsidR="000E7A62" w:rsidRDefault="000E7A62" w:rsidP="00907951">
      <w:pPr>
        <w:pStyle w:val="ListParagraph"/>
        <w:numPr>
          <w:ilvl w:val="0"/>
          <w:numId w:val="17"/>
        </w:numPr>
        <w:spacing w:after="120"/>
      </w:pPr>
      <w:r>
        <w:t>Has been created to provide a new item for patella-femoral reconstruction.</w:t>
      </w:r>
    </w:p>
    <w:p w14:paraId="340FCA20" w14:textId="3FD76B7A" w:rsidR="000E7A62" w:rsidRPr="00680C4A" w:rsidRDefault="000E7A62" w:rsidP="00907951">
      <w:pPr>
        <w:pStyle w:val="ListParagraph"/>
        <w:numPr>
          <w:ilvl w:val="0"/>
          <w:numId w:val="17"/>
        </w:numPr>
        <w:spacing w:after="120"/>
      </w:pPr>
      <w:r>
        <w:t xml:space="preserve">The new item </w:t>
      </w:r>
      <w:r w:rsidR="006F78ED">
        <w:t>accounts</w:t>
      </w:r>
      <w:r>
        <w:t xml:space="preserve"> for the </w:t>
      </w:r>
      <w:r w:rsidRPr="000E7A62">
        <w:t>greater complexity of knee stabilisation procedures that require pa</w:t>
      </w:r>
      <w:r w:rsidR="00484F1A">
        <w:t>tello</w:t>
      </w:r>
      <w:r w:rsidRPr="000E7A62">
        <w:t>femoral reconstruction.</w:t>
      </w:r>
    </w:p>
    <w:p w14:paraId="734149B4" w14:textId="77777777" w:rsidR="00EA1D2E" w:rsidRDefault="00EA1D2E" w:rsidP="00EA1D2E">
      <w:pPr>
        <w:spacing w:line="259" w:lineRule="auto"/>
      </w:pPr>
    </w:p>
    <w:p w14:paraId="64B32292" w14:textId="65E73DF8" w:rsidR="00680C4A" w:rsidRDefault="000E7A62" w:rsidP="00EA1D2E">
      <w:pPr>
        <w:spacing w:line="259" w:lineRule="auto"/>
      </w:pPr>
      <w:r>
        <w:t>Item 49566:</w:t>
      </w:r>
    </w:p>
    <w:p w14:paraId="0FB3965D" w14:textId="73C5AC55" w:rsidR="000E7A62" w:rsidRDefault="000E7A62" w:rsidP="00907951">
      <w:pPr>
        <w:pStyle w:val="ListParagraph"/>
        <w:numPr>
          <w:ilvl w:val="0"/>
          <w:numId w:val="18"/>
        </w:numPr>
        <w:spacing w:after="120"/>
      </w:pPr>
      <w:r>
        <w:t xml:space="preserve">Has been </w:t>
      </w:r>
      <w:r w:rsidR="006F78ED">
        <w:t>consolidated</w:t>
      </w:r>
      <w:r>
        <w:t xml:space="preserve"> under item 48586 for arthroscopic synovectomy.</w:t>
      </w:r>
    </w:p>
    <w:p w14:paraId="21E6F40C" w14:textId="08C0EC2D" w:rsidR="000E7A62" w:rsidRDefault="000E7A62" w:rsidP="00907951">
      <w:pPr>
        <w:pStyle w:val="ListParagraph"/>
        <w:numPr>
          <w:ilvl w:val="0"/>
          <w:numId w:val="18"/>
        </w:numPr>
        <w:spacing w:after="120"/>
      </w:pPr>
      <w:r>
        <w:t>Please see tier three of the knee arthroscopy section.</w:t>
      </w:r>
    </w:p>
    <w:p w14:paraId="6343CB21" w14:textId="5AD171AA" w:rsidR="00771DE9" w:rsidRPr="00907951" w:rsidRDefault="000E7A62" w:rsidP="00907951">
      <w:pPr>
        <w:pStyle w:val="ListParagraph"/>
        <w:numPr>
          <w:ilvl w:val="0"/>
          <w:numId w:val="18"/>
        </w:numPr>
        <w:spacing w:after="120"/>
      </w:pPr>
      <w:r w:rsidRPr="000E7A62">
        <w:t xml:space="preserve">Having a single location for all knee arthroscopy items will </w:t>
      </w:r>
      <w:r w:rsidR="007C2A58">
        <w:t>assist practi</w:t>
      </w:r>
      <w:r w:rsidR="00907951">
        <w:t>t</w:t>
      </w:r>
      <w:r w:rsidR="007C2A58">
        <w:t>i</w:t>
      </w:r>
      <w:r w:rsidR="00907951">
        <w:t>oners who bill these items</w:t>
      </w:r>
      <w:r w:rsidR="003079D8">
        <w:br/>
      </w:r>
    </w:p>
    <w:p w14:paraId="3F9DD3BD" w14:textId="0CBA5461" w:rsidR="000E7A62" w:rsidRPr="000E7A62" w:rsidRDefault="000E7A62" w:rsidP="00907951">
      <w:pPr>
        <w:spacing w:after="120"/>
        <w:rPr>
          <w:b/>
        </w:rPr>
      </w:pPr>
      <w:r w:rsidRPr="000E7A62">
        <w:rPr>
          <w:b/>
        </w:rPr>
        <w:t xml:space="preserve">Fracture Items </w:t>
      </w:r>
    </w:p>
    <w:p w14:paraId="3B77FE5D" w14:textId="72BCEBC9" w:rsidR="00680C4A" w:rsidRDefault="000E7A62" w:rsidP="00907951">
      <w:pPr>
        <w:spacing w:after="120"/>
      </w:pPr>
      <w:r>
        <w:t>Item 47549 and 47558:</w:t>
      </w:r>
    </w:p>
    <w:p w14:paraId="61824A4C" w14:textId="77777777" w:rsidR="000E7A62" w:rsidRDefault="000E7A62" w:rsidP="00907951">
      <w:pPr>
        <w:pStyle w:val="ListParagraph"/>
        <w:numPr>
          <w:ilvl w:val="0"/>
          <w:numId w:val="19"/>
        </w:numPr>
        <w:spacing w:after="120"/>
      </w:pPr>
      <w:r>
        <w:t xml:space="preserve">Have been amended to </w:t>
      </w:r>
      <w:r w:rsidRPr="000E7A62">
        <w:t xml:space="preserve">clarify that internal fixation and arthrotomy are part of the procedure and cannot be claimed separately. </w:t>
      </w:r>
    </w:p>
    <w:p w14:paraId="4613FE84" w14:textId="3B200FBE" w:rsidR="00680C4A" w:rsidRPr="00680C4A" w:rsidRDefault="000E7A62" w:rsidP="00907951">
      <w:pPr>
        <w:pStyle w:val="ListParagraph"/>
        <w:numPr>
          <w:ilvl w:val="0"/>
          <w:numId w:val="19"/>
        </w:numPr>
        <w:spacing w:after="120"/>
      </w:pPr>
      <w:r w:rsidRPr="000E7A62">
        <w:t>This will make it easier for clinicians to determine which items to use</w:t>
      </w:r>
      <w:r w:rsidR="00575ED7">
        <w:t xml:space="preserve"> and provides greater clarity for consumers and clinicians.</w:t>
      </w:r>
    </w:p>
    <w:p w14:paraId="24794E3A" w14:textId="77777777" w:rsidR="00EA1D2E" w:rsidRDefault="00EA1D2E" w:rsidP="00907951">
      <w:pPr>
        <w:spacing w:after="120"/>
      </w:pPr>
    </w:p>
    <w:p w14:paraId="7A7C50A6" w14:textId="37ED44E8" w:rsidR="00680C4A" w:rsidRDefault="000E7A62" w:rsidP="00907951">
      <w:pPr>
        <w:spacing w:after="120"/>
      </w:pPr>
      <w:r>
        <w:t>Item 47559:</w:t>
      </w:r>
    </w:p>
    <w:p w14:paraId="048ACF84" w14:textId="77777777" w:rsidR="000E7A62" w:rsidRDefault="000E7A62" w:rsidP="00907951">
      <w:pPr>
        <w:pStyle w:val="ListParagraph"/>
        <w:numPr>
          <w:ilvl w:val="0"/>
          <w:numId w:val="20"/>
        </w:numPr>
        <w:spacing w:after="120"/>
      </w:pPr>
      <w:r>
        <w:t>Has been created to provide a new item for treatment of medial and/or lateral tibial plateau fractures.</w:t>
      </w:r>
    </w:p>
    <w:p w14:paraId="1EEBA76F" w14:textId="3A35BFCB" w:rsidR="000E7A62" w:rsidRDefault="000E7A62" w:rsidP="00907951">
      <w:pPr>
        <w:pStyle w:val="ListParagraph"/>
        <w:numPr>
          <w:ilvl w:val="0"/>
          <w:numId w:val="20"/>
        </w:numPr>
        <w:spacing w:after="120"/>
      </w:pPr>
      <w:r>
        <w:t xml:space="preserve">This </w:t>
      </w:r>
      <w:r w:rsidRPr="000E7A62">
        <w:t>reflects the increased complexity and time and resources required to apply an external fixator and creates a complete medical service.</w:t>
      </w:r>
    </w:p>
    <w:p w14:paraId="3E2922B3" w14:textId="77777777" w:rsidR="00EA1D2E" w:rsidRDefault="00EA1D2E" w:rsidP="00907951">
      <w:pPr>
        <w:spacing w:after="120"/>
      </w:pPr>
    </w:p>
    <w:p w14:paraId="555ECB7D" w14:textId="29EB2CF9" w:rsidR="000E7A62" w:rsidRDefault="000E7A62" w:rsidP="00907951">
      <w:pPr>
        <w:spacing w:after="120"/>
      </w:pPr>
      <w:r>
        <w:t>Items 47561, 47564, 47567 and 46568:</w:t>
      </w:r>
    </w:p>
    <w:p w14:paraId="1B9B5040" w14:textId="45F25B9B" w:rsidR="000E7A62" w:rsidRDefault="000E7A62" w:rsidP="00907951">
      <w:pPr>
        <w:pStyle w:val="ListParagraph"/>
        <w:numPr>
          <w:ilvl w:val="0"/>
          <w:numId w:val="21"/>
        </w:numPr>
        <w:spacing w:after="120"/>
      </w:pPr>
      <w:r w:rsidRPr="000E7A62">
        <w:t xml:space="preserve">Items </w:t>
      </w:r>
      <w:r w:rsidR="00E760CD">
        <w:t>47564 and</w:t>
      </w:r>
      <w:r w:rsidRPr="000E7A62">
        <w:t xml:space="preserve"> 47567</w:t>
      </w:r>
      <w:r>
        <w:t xml:space="preserve"> have been consolidated under item 46568 for tr</w:t>
      </w:r>
      <w:r w:rsidR="006F78ED">
        <w:t>eatment of a fracture of the tib</w:t>
      </w:r>
      <w:r>
        <w:t>ia by closed reduction.</w:t>
      </w:r>
    </w:p>
    <w:p w14:paraId="1F2B174F" w14:textId="0EC55C76" w:rsidR="000E7A62" w:rsidRDefault="000E7A62" w:rsidP="00907951">
      <w:pPr>
        <w:pStyle w:val="ListParagraph"/>
        <w:numPr>
          <w:ilvl w:val="0"/>
          <w:numId w:val="21"/>
        </w:numPr>
        <w:spacing w:after="120"/>
      </w:pPr>
      <w:r w:rsidRPr="000E7A62">
        <w:t>Separate items are not required for d</w:t>
      </w:r>
      <w:r>
        <w:t>ifferent methods of treatment; c</w:t>
      </w:r>
      <w:r w:rsidRPr="000E7A62">
        <w:t>onsolidating these items will simplify the MBS.</w:t>
      </w:r>
    </w:p>
    <w:p w14:paraId="4478D516" w14:textId="506CE986" w:rsidR="00E760CD" w:rsidRDefault="00E760CD" w:rsidP="00907951">
      <w:pPr>
        <w:pStyle w:val="ListParagraph"/>
        <w:numPr>
          <w:ilvl w:val="0"/>
          <w:numId w:val="21"/>
        </w:numPr>
        <w:spacing w:after="120"/>
      </w:pPr>
      <w:r>
        <w:t>Item 47561 has been retained to provide a specific item for cast immobilisation.</w:t>
      </w:r>
    </w:p>
    <w:p w14:paraId="7468A6CC" w14:textId="4FBFB84A" w:rsidR="000E7A62" w:rsidRDefault="000E7A62" w:rsidP="00907951">
      <w:pPr>
        <w:spacing w:after="120"/>
      </w:pPr>
      <w:r>
        <w:lastRenderedPageBreak/>
        <w:t>Item 47573:</w:t>
      </w:r>
    </w:p>
    <w:p w14:paraId="38187FA0" w14:textId="7C4378B8" w:rsidR="000E7A62" w:rsidRDefault="000E7A62" w:rsidP="00907951">
      <w:pPr>
        <w:pStyle w:val="ListParagraph"/>
        <w:numPr>
          <w:ilvl w:val="0"/>
          <w:numId w:val="22"/>
        </w:numPr>
        <w:spacing w:after="120"/>
      </w:pPr>
      <w:r>
        <w:t xml:space="preserve">Has been amended to </w:t>
      </w:r>
      <w:r w:rsidRPr="000E7A62">
        <w:t>provide a more accurate and complete description</w:t>
      </w:r>
      <w:r>
        <w:t xml:space="preserve"> of the service performed.</w:t>
      </w:r>
    </w:p>
    <w:p w14:paraId="437B377C" w14:textId="78F6103A" w:rsidR="00D01121" w:rsidRDefault="00D01121" w:rsidP="00907951">
      <w:pPr>
        <w:pStyle w:val="ListParagraph"/>
        <w:numPr>
          <w:ilvl w:val="0"/>
          <w:numId w:val="22"/>
        </w:numPr>
        <w:spacing w:after="120"/>
      </w:pPr>
      <w:r>
        <w:t xml:space="preserve">The item applies to </w:t>
      </w:r>
      <w:r w:rsidRPr="00D01121">
        <w:t>proximal or distal intra-articular fractures</w:t>
      </w:r>
      <w:r>
        <w:t xml:space="preserve"> and should not b</w:t>
      </w:r>
      <w:r w:rsidRPr="00D01121">
        <w:t>e used for treatment of medial malleolus fracture to distal tibia.</w:t>
      </w:r>
    </w:p>
    <w:p w14:paraId="1A0786A4" w14:textId="37418854" w:rsidR="000E7A62" w:rsidRDefault="000E7A62" w:rsidP="00907951">
      <w:pPr>
        <w:pStyle w:val="ListParagraph"/>
        <w:numPr>
          <w:ilvl w:val="0"/>
          <w:numId w:val="22"/>
        </w:numPr>
        <w:spacing w:after="120"/>
      </w:pPr>
      <w:r>
        <w:t xml:space="preserve">The item includes </w:t>
      </w:r>
      <w:r w:rsidRPr="000E7A62">
        <w:t>arthrotomy or arthroscopy at fracture site, washout of joint, removal of loose fragments or intervening soft tissue, and capsule repair, if performed.</w:t>
      </w:r>
    </w:p>
    <w:p w14:paraId="08274597" w14:textId="77777777" w:rsidR="00EA1D2E" w:rsidRDefault="00EA1D2E" w:rsidP="00907951">
      <w:pPr>
        <w:spacing w:after="120"/>
      </w:pPr>
    </w:p>
    <w:p w14:paraId="49D83AA3" w14:textId="6CB21D9F" w:rsidR="000E7A62" w:rsidRDefault="00D01121" w:rsidP="00907951">
      <w:pPr>
        <w:spacing w:after="120"/>
      </w:pPr>
      <w:r>
        <w:t>Item 47576:</w:t>
      </w:r>
    </w:p>
    <w:p w14:paraId="236D5358" w14:textId="46BA8430" w:rsidR="00D01121" w:rsidRDefault="00D01121" w:rsidP="00907951">
      <w:pPr>
        <w:pStyle w:val="ListParagraph"/>
        <w:numPr>
          <w:ilvl w:val="0"/>
          <w:numId w:val="23"/>
        </w:numPr>
        <w:spacing w:after="120"/>
      </w:pPr>
      <w:r>
        <w:t>I</w:t>
      </w:r>
      <w:r w:rsidRPr="00D01121">
        <w:t xml:space="preserve">s no longer required because </w:t>
      </w:r>
      <w:r w:rsidR="00907951">
        <w:t>this service</w:t>
      </w:r>
      <w:r w:rsidRPr="00D01121">
        <w:t xml:space="preserve"> can be incorporated into tibial shaft items where appropriate, or treated as part of a consultation.</w:t>
      </w:r>
    </w:p>
    <w:p w14:paraId="3BBBA23A" w14:textId="77777777" w:rsidR="00EA1D2E" w:rsidRDefault="00EA1D2E" w:rsidP="00EA1D2E">
      <w:pPr>
        <w:spacing w:line="259" w:lineRule="auto"/>
      </w:pPr>
    </w:p>
    <w:p w14:paraId="2111B840" w14:textId="218D106B" w:rsidR="000E7A62" w:rsidRDefault="00D01121" w:rsidP="00EA1D2E">
      <w:pPr>
        <w:spacing w:line="259" w:lineRule="auto"/>
      </w:pPr>
      <w:r>
        <w:t>Item 47582:</w:t>
      </w:r>
    </w:p>
    <w:p w14:paraId="4938C9E0" w14:textId="038C5DF0" w:rsidR="00D01121" w:rsidRDefault="00D01121" w:rsidP="00907951">
      <w:pPr>
        <w:pStyle w:val="ListParagraph"/>
        <w:numPr>
          <w:ilvl w:val="0"/>
          <w:numId w:val="23"/>
        </w:numPr>
        <w:spacing w:after="120"/>
      </w:pPr>
      <w:r>
        <w:t xml:space="preserve">Has been amended to clarify that the </w:t>
      </w:r>
      <w:r w:rsidRPr="00D01121">
        <w:t>item applies to proximal and distal fractures.</w:t>
      </w:r>
    </w:p>
    <w:p w14:paraId="66DDE039" w14:textId="77777777" w:rsidR="00D01121" w:rsidRDefault="00D01121" w:rsidP="00907951">
      <w:pPr>
        <w:pStyle w:val="ListParagraph"/>
        <w:numPr>
          <w:ilvl w:val="0"/>
          <w:numId w:val="23"/>
        </w:numPr>
        <w:spacing w:after="120"/>
      </w:pPr>
      <w:r w:rsidRPr="00D01121">
        <w:t xml:space="preserve">Changes to the descriptor clarify the components that (if performed) are considered part of the procedure: open reduction, internal fixation, arthrotomy, removal of loose fragments, repair of the quadriceps tendon or patella tendon, and stabilisation of the patellofemoral joint. </w:t>
      </w:r>
    </w:p>
    <w:p w14:paraId="212EA6D4" w14:textId="46250A85" w:rsidR="00771DE9" w:rsidRDefault="00D01121" w:rsidP="00907951">
      <w:pPr>
        <w:pStyle w:val="ListParagraph"/>
        <w:numPr>
          <w:ilvl w:val="0"/>
          <w:numId w:val="23"/>
        </w:numPr>
        <w:spacing w:after="120"/>
      </w:pPr>
      <w:r w:rsidRPr="00D01121">
        <w:t>This confirms that the item is a complete medical service and provides greater clarity for consumers and clinicians.</w:t>
      </w:r>
    </w:p>
    <w:p w14:paraId="67122C07" w14:textId="77777777" w:rsidR="00EA1D2E" w:rsidRDefault="00EA1D2E" w:rsidP="00907951">
      <w:pPr>
        <w:spacing w:after="120"/>
      </w:pPr>
    </w:p>
    <w:p w14:paraId="4DBE8DFE" w14:textId="69D68DFE" w:rsidR="00D01121" w:rsidRDefault="00D01121" w:rsidP="00907951">
      <w:pPr>
        <w:spacing w:after="120"/>
      </w:pPr>
      <w:r>
        <w:t>Items 47592 and 47593:</w:t>
      </w:r>
    </w:p>
    <w:p w14:paraId="647777A1" w14:textId="634B678B" w:rsidR="00D01121" w:rsidRDefault="00D01121" w:rsidP="00907951">
      <w:pPr>
        <w:pStyle w:val="ListParagraph"/>
        <w:numPr>
          <w:ilvl w:val="0"/>
          <w:numId w:val="24"/>
        </w:numPr>
        <w:spacing w:after="120"/>
      </w:pPr>
      <w:r>
        <w:t xml:space="preserve">Have been created to provide two new </w:t>
      </w:r>
      <w:r w:rsidR="006F78ED">
        <w:t>items</w:t>
      </w:r>
      <w:r>
        <w:t xml:space="preserve"> for</w:t>
      </w:r>
      <w:r w:rsidRPr="00D01121">
        <w:t xml:space="preserve"> acute traumatic chondral injury to distal femoral and/or proximal tibial articular surfaces.</w:t>
      </w:r>
    </w:p>
    <w:p w14:paraId="548BF8CD" w14:textId="77777777" w:rsidR="00D01121" w:rsidRDefault="00D01121" w:rsidP="00907951">
      <w:pPr>
        <w:pStyle w:val="ListParagraph"/>
        <w:numPr>
          <w:ilvl w:val="0"/>
          <w:numId w:val="24"/>
        </w:numPr>
        <w:spacing w:after="120"/>
      </w:pPr>
      <w:r>
        <w:t xml:space="preserve">The items </w:t>
      </w:r>
      <w:r w:rsidRPr="00D01121">
        <w:t xml:space="preserve">are required to reflect current clinical practice for treating acute chondral or osteochondral injury. </w:t>
      </w:r>
    </w:p>
    <w:p w14:paraId="4E8EB24D" w14:textId="18E2F592" w:rsidR="00D01121" w:rsidRDefault="00D01121" w:rsidP="00907951">
      <w:pPr>
        <w:pStyle w:val="ListParagraph"/>
        <w:numPr>
          <w:ilvl w:val="0"/>
          <w:numId w:val="24"/>
        </w:numPr>
        <w:spacing w:after="120"/>
      </w:pPr>
      <w:r w:rsidRPr="00D01121">
        <w:t>At present, these procedures are not well described, which leads to inconsistent billing practices.</w:t>
      </w:r>
      <w:r w:rsidR="003079D8">
        <w:br/>
      </w:r>
    </w:p>
    <w:p w14:paraId="19D91B54" w14:textId="454B58AC" w:rsidR="00D01121" w:rsidRPr="00D01121" w:rsidRDefault="00D01121" w:rsidP="00907951">
      <w:pPr>
        <w:spacing w:after="120"/>
        <w:rPr>
          <w:b/>
        </w:rPr>
      </w:pPr>
      <w:r w:rsidRPr="00D01121">
        <w:rPr>
          <w:b/>
        </w:rPr>
        <w:t>Dislocation Items</w:t>
      </w:r>
    </w:p>
    <w:p w14:paraId="0F0FD3C0" w14:textId="76B70B9C" w:rsidR="00501FF0" w:rsidRDefault="00D01121" w:rsidP="00907951">
      <w:pPr>
        <w:spacing w:after="120"/>
      </w:pPr>
      <w:r>
        <w:t>Item 47054:</w:t>
      </w:r>
    </w:p>
    <w:p w14:paraId="67455C80" w14:textId="614E859A" w:rsidR="00D01121" w:rsidRDefault="00D01121" w:rsidP="00907951">
      <w:pPr>
        <w:pStyle w:val="ListParagraph"/>
        <w:numPr>
          <w:ilvl w:val="0"/>
          <w:numId w:val="25"/>
        </w:numPr>
        <w:spacing w:after="120"/>
      </w:pPr>
      <w:r>
        <w:t xml:space="preserve">Has been amended to clarify that the </w:t>
      </w:r>
      <w:r w:rsidRPr="00D01121">
        <w:t>procedure includes application of an external fixator</w:t>
      </w:r>
      <w:r>
        <w:t>.</w:t>
      </w:r>
    </w:p>
    <w:p w14:paraId="2DB765AF" w14:textId="77777777" w:rsidR="00EA1D2E" w:rsidRDefault="00EA1D2E" w:rsidP="00907951">
      <w:pPr>
        <w:spacing w:after="120"/>
      </w:pPr>
    </w:p>
    <w:p w14:paraId="29C74C37" w14:textId="77777777" w:rsidR="00EA1D2E" w:rsidRDefault="00EA1D2E" w:rsidP="00907951">
      <w:pPr>
        <w:spacing w:after="120"/>
      </w:pPr>
    </w:p>
    <w:p w14:paraId="1BBFE41B" w14:textId="77777777" w:rsidR="00EA1D2E" w:rsidRDefault="00EA1D2E" w:rsidP="00907951">
      <w:pPr>
        <w:spacing w:after="120"/>
      </w:pPr>
    </w:p>
    <w:p w14:paraId="5586A971" w14:textId="77777777" w:rsidR="00EA1D2E" w:rsidRDefault="00EA1D2E" w:rsidP="00907951">
      <w:pPr>
        <w:spacing w:after="120"/>
      </w:pPr>
    </w:p>
    <w:p w14:paraId="27010D19" w14:textId="63C69D1F" w:rsidR="00D01121" w:rsidRDefault="00D01121" w:rsidP="00907951">
      <w:pPr>
        <w:spacing w:after="120"/>
      </w:pPr>
      <w:r>
        <w:lastRenderedPageBreak/>
        <w:t xml:space="preserve">Item 47060 </w:t>
      </w:r>
    </w:p>
    <w:p w14:paraId="1C683EDD" w14:textId="36EE5B41" w:rsidR="00D01121" w:rsidRDefault="00D01121" w:rsidP="00907951">
      <w:pPr>
        <w:pStyle w:val="ListParagraph"/>
        <w:numPr>
          <w:ilvl w:val="0"/>
          <w:numId w:val="25"/>
        </w:numPr>
        <w:spacing w:after="120"/>
      </w:pPr>
      <w:r>
        <w:t xml:space="preserve">Has been amended to specify that </w:t>
      </w:r>
      <w:r w:rsidRPr="00D01121">
        <w:t>surgical assistant</w:t>
      </w:r>
      <w:r>
        <w:t xml:space="preserve"> is permitted given the complexity of the procedure.</w:t>
      </w:r>
    </w:p>
    <w:p w14:paraId="2BA78994" w14:textId="3AF61675" w:rsidR="00D01121" w:rsidRDefault="00D01121" w:rsidP="00907951">
      <w:pPr>
        <w:pStyle w:val="ListParagraph"/>
        <w:numPr>
          <w:ilvl w:val="0"/>
          <w:numId w:val="25"/>
        </w:numPr>
        <w:autoSpaceDE w:val="0"/>
        <w:autoSpaceDN w:val="0"/>
        <w:adjustRightInd w:val="0"/>
        <w:spacing w:after="120" w:line="240" w:lineRule="auto"/>
      </w:pPr>
      <w:r w:rsidRPr="00D01121">
        <w:t xml:space="preserve">Open reduction for dislocation of the patella is rarely required and the severity of the condition may require an assistant. </w:t>
      </w:r>
      <w:r w:rsidR="003079D8">
        <w:br/>
      </w:r>
    </w:p>
    <w:p w14:paraId="551C9D34" w14:textId="3020DC06" w:rsidR="00D01121" w:rsidRPr="00D01121" w:rsidRDefault="006F78ED" w:rsidP="00907951">
      <w:pPr>
        <w:spacing w:after="120"/>
        <w:rPr>
          <w:b/>
        </w:rPr>
      </w:pPr>
      <w:r w:rsidRPr="00D01121">
        <w:rPr>
          <w:b/>
        </w:rPr>
        <w:t>Osteotomy</w:t>
      </w:r>
      <w:r w:rsidR="00D01121" w:rsidRPr="00D01121">
        <w:rPr>
          <w:b/>
        </w:rPr>
        <w:t xml:space="preserve"> and </w:t>
      </w:r>
      <w:proofErr w:type="spellStart"/>
      <w:r w:rsidR="00D01121" w:rsidRPr="00D01121">
        <w:rPr>
          <w:b/>
        </w:rPr>
        <w:t>Osteectomy</w:t>
      </w:r>
      <w:proofErr w:type="spellEnd"/>
    </w:p>
    <w:p w14:paraId="6E0A68C4" w14:textId="1D0F1DD8" w:rsidR="00501FF0" w:rsidRDefault="00D01121" w:rsidP="00907951">
      <w:pPr>
        <w:spacing w:after="120"/>
      </w:pPr>
      <w:r>
        <w:t>Item 48418:</w:t>
      </w:r>
    </w:p>
    <w:p w14:paraId="67F8B1DF" w14:textId="71A3C7F5" w:rsidR="00D01121" w:rsidRDefault="00D01121" w:rsidP="00907951">
      <w:pPr>
        <w:pStyle w:val="ListParagraph"/>
        <w:numPr>
          <w:ilvl w:val="0"/>
          <w:numId w:val="26"/>
        </w:numPr>
        <w:spacing w:after="120"/>
      </w:pPr>
      <w:r>
        <w:t xml:space="preserve">Has been deleted following the removal of the term </w:t>
      </w:r>
      <w:proofErr w:type="spellStart"/>
      <w:r>
        <w:t>osteectomy</w:t>
      </w:r>
      <w:proofErr w:type="spellEnd"/>
      <w:r>
        <w:t xml:space="preserve"> from all items.</w:t>
      </w:r>
    </w:p>
    <w:p w14:paraId="333B06B4" w14:textId="4B77576C" w:rsidR="00D01121" w:rsidRPr="00501FF0" w:rsidRDefault="00D01121" w:rsidP="00907951">
      <w:pPr>
        <w:pStyle w:val="ListParagraph"/>
        <w:numPr>
          <w:ilvl w:val="0"/>
          <w:numId w:val="26"/>
        </w:numPr>
        <w:spacing w:after="120"/>
      </w:pPr>
      <w:r>
        <w:t xml:space="preserve">The item is no longer required as fixation is </w:t>
      </w:r>
      <w:r w:rsidR="00121BAC">
        <w:t>required for this type of osteotomy procedure.</w:t>
      </w:r>
    </w:p>
    <w:p w14:paraId="4C6613AC" w14:textId="77777777" w:rsidR="00EA1D2E" w:rsidRDefault="00EA1D2E" w:rsidP="00907951">
      <w:pPr>
        <w:spacing w:after="120"/>
      </w:pPr>
    </w:p>
    <w:p w14:paraId="27BC48C9" w14:textId="6D6164D4" w:rsidR="00501FF0" w:rsidRDefault="00121BAC" w:rsidP="00907951">
      <w:pPr>
        <w:spacing w:after="120"/>
      </w:pPr>
      <w:r>
        <w:t>Item 48421:</w:t>
      </w:r>
    </w:p>
    <w:p w14:paraId="2DF31AB2" w14:textId="7426A2D7" w:rsidR="00121BAC" w:rsidRDefault="00121BAC" w:rsidP="00907951">
      <w:pPr>
        <w:pStyle w:val="ListParagraph"/>
        <w:numPr>
          <w:ilvl w:val="0"/>
          <w:numId w:val="27"/>
        </w:numPr>
        <w:spacing w:after="120"/>
      </w:pPr>
      <w:r>
        <w:t xml:space="preserve">Has been amended to remove </w:t>
      </w:r>
      <w:r w:rsidRPr="00121BAC">
        <w:t xml:space="preserve">the reference to </w:t>
      </w:r>
      <w:proofErr w:type="spellStart"/>
      <w:r w:rsidRPr="00121BAC">
        <w:t>osteectomy</w:t>
      </w:r>
      <w:proofErr w:type="spellEnd"/>
      <w:r w:rsidRPr="00121BAC">
        <w:t xml:space="preserve"> and better define the anatomical site and purpose of the procedure.</w:t>
      </w:r>
    </w:p>
    <w:p w14:paraId="0941FB75" w14:textId="557F6448" w:rsidR="00121BAC" w:rsidRPr="00501FF0" w:rsidRDefault="00121BAC" w:rsidP="00907951">
      <w:pPr>
        <w:pStyle w:val="ListParagraph"/>
        <w:numPr>
          <w:ilvl w:val="0"/>
          <w:numId w:val="27"/>
        </w:numPr>
        <w:spacing w:after="120"/>
      </w:pPr>
      <w:r w:rsidRPr="00121BAC">
        <w:t>The changes aim to reduce inappropriate co-claiming and define tibial or femoral osteotomy solely as a procedure for correcting alignment or rotation of the limb.</w:t>
      </w:r>
    </w:p>
    <w:p w14:paraId="1E20D435" w14:textId="77777777" w:rsidR="00EA1D2E" w:rsidRDefault="00EA1D2E" w:rsidP="00907951">
      <w:pPr>
        <w:spacing w:after="120"/>
      </w:pPr>
    </w:p>
    <w:p w14:paraId="269300F6" w14:textId="163F86BE" w:rsidR="00501FF0" w:rsidRDefault="00121BAC" w:rsidP="00907951">
      <w:pPr>
        <w:spacing w:after="120"/>
      </w:pPr>
      <w:r>
        <w:t>Item 48422:</w:t>
      </w:r>
    </w:p>
    <w:p w14:paraId="26D1498A" w14:textId="00F94424" w:rsidR="00121BAC" w:rsidRDefault="00121BAC" w:rsidP="00907951">
      <w:pPr>
        <w:pStyle w:val="ListParagraph"/>
        <w:numPr>
          <w:ilvl w:val="0"/>
          <w:numId w:val="29"/>
        </w:numPr>
        <w:spacing w:after="120"/>
      </w:pPr>
      <w:r>
        <w:t xml:space="preserve">Has been created to provide a new item for </w:t>
      </w:r>
      <w:r w:rsidRPr="00121BAC">
        <w:t>distal femoral osteotomy.</w:t>
      </w:r>
    </w:p>
    <w:p w14:paraId="5A30E432" w14:textId="77777777" w:rsidR="00EA1D2E" w:rsidRDefault="00121BAC" w:rsidP="003E0EB0">
      <w:pPr>
        <w:pStyle w:val="ListParagraph"/>
        <w:numPr>
          <w:ilvl w:val="0"/>
          <w:numId w:val="28"/>
        </w:numPr>
        <w:spacing w:after="120"/>
      </w:pPr>
      <w:r>
        <w:t xml:space="preserve">This </w:t>
      </w:r>
      <w:r w:rsidRPr="00121BAC">
        <w:t>is required to account for the small and specific number of clinical instances which warrant an osteotomy.</w:t>
      </w:r>
    </w:p>
    <w:p w14:paraId="5918F92E" w14:textId="77777777" w:rsidR="00EA1D2E" w:rsidRDefault="00EA1D2E" w:rsidP="00EA1D2E">
      <w:pPr>
        <w:spacing w:after="120"/>
        <w:ind w:left="360"/>
      </w:pPr>
    </w:p>
    <w:p w14:paraId="0A8BA0D5" w14:textId="1B8F0755" w:rsidR="003E0EB0" w:rsidRPr="00EA1D2E" w:rsidRDefault="003E0EB0" w:rsidP="00EA1D2E">
      <w:pPr>
        <w:pStyle w:val="Heading2"/>
        <w:rPr>
          <w:sz w:val="26"/>
          <w:szCs w:val="26"/>
        </w:rPr>
      </w:pPr>
      <w:r w:rsidRPr="00EA1D2E">
        <w:rPr>
          <w:sz w:val="26"/>
          <w:szCs w:val="26"/>
        </w:rPr>
        <w:t>Why are the changes being made?</w:t>
      </w:r>
    </w:p>
    <w:p w14:paraId="05F7B348" w14:textId="24ADE1AA" w:rsidR="005E6C88" w:rsidRPr="005E6C88" w:rsidRDefault="005E6C88" w:rsidP="005E6C88">
      <w:pPr>
        <w:spacing w:before="240" w:after="120"/>
        <w:outlineLvl w:val="1"/>
        <w:rPr>
          <w:rFonts w:asciiTheme="majorHAnsi" w:hAnsiTheme="majorHAnsi"/>
          <w:szCs w:val="20"/>
        </w:rPr>
      </w:pPr>
      <w:r w:rsidRPr="005E6C88">
        <w:rPr>
          <w:rFonts w:asciiTheme="majorHAnsi" w:hAnsiTheme="majorHAnsi"/>
          <w:szCs w:val="20"/>
        </w:rPr>
        <w:t xml:space="preserve">The MBS Review Taskforce (the Taskforce) found that changes to orthopaedic </w:t>
      </w:r>
      <w:r>
        <w:rPr>
          <w:rFonts w:asciiTheme="majorHAnsi" w:hAnsiTheme="majorHAnsi"/>
          <w:szCs w:val="20"/>
        </w:rPr>
        <w:t xml:space="preserve">knee </w:t>
      </w:r>
      <w:r w:rsidRPr="005E6C88">
        <w:rPr>
          <w:rFonts w:asciiTheme="majorHAnsi" w:hAnsiTheme="majorHAnsi"/>
          <w:szCs w:val="20"/>
        </w:rPr>
        <w:t>surgery were required to reduce ambiguity among item descriptors, and to ensure the schedule is structured logically and reflects modern clinical practice.</w:t>
      </w:r>
    </w:p>
    <w:p w14:paraId="7F74C433" w14:textId="4146EAF6" w:rsidR="004B3CCD" w:rsidRDefault="004B3CCD" w:rsidP="004B3CCD">
      <w:pPr>
        <w:pStyle w:val="Heading2"/>
        <w:rPr>
          <w:color w:val="auto"/>
          <w:sz w:val="20"/>
          <w:szCs w:val="20"/>
        </w:rPr>
      </w:pPr>
      <w:r w:rsidRPr="003E0EB0">
        <w:rPr>
          <w:color w:val="auto"/>
          <w:sz w:val="20"/>
          <w:szCs w:val="20"/>
        </w:rPr>
        <w:t xml:space="preserve">These changes are a result of a review by the Taskforce, which was informed by the </w:t>
      </w:r>
      <w:r>
        <w:rPr>
          <w:color w:val="auto"/>
          <w:sz w:val="20"/>
          <w:szCs w:val="20"/>
        </w:rPr>
        <w:t>Orthopaedics</w:t>
      </w:r>
      <w:r w:rsidRPr="003E0EB0">
        <w:rPr>
          <w:color w:val="auto"/>
          <w:sz w:val="20"/>
          <w:szCs w:val="20"/>
        </w:rPr>
        <w:t xml:space="preserve"> Clinical Committee and discussion with key stakeholders. More information about the Taskforce and associated Committees is available via the Medicare Benefits Schedule Review page, within the ‘for consumers’ tab.</w:t>
      </w:r>
    </w:p>
    <w:p w14:paraId="54E6502B" w14:textId="0DBE6A93" w:rsidR="008D1238" w:rsidRDefault="008D1238" w:rsidP="008D1238">
      <w:r w:rsidRPr="00E62B97">
        <w:t xml:space="preserve">In </w:t>
      </w:r>
      <w:r>
        <w:t>some</w:t>
      </w:r>
      <w:r w:rsidRPr="00E62B97">
        <w:t xml:space="preserve"> instances</w:t>
      </w:r>
      <w:r>
        <w:t>,</w:t>
      </w:r>
      <w:r w:rsidRPr="00E62B97">
        <w:t xml:space="preserve"> item descriptors may differ from the descriptors proposed by the </w:t>
      </w:r>
      <w:r>
        <w:t>Taskforce. This is a result of</w:t>
      </w:r>
      <w:r w:rsidRPr="00E62B97">
        <w:t xml:space="preserve"> </w:t>
      </w:r>
      <w:r>
        <w:t>recommendations made by the</w:t>
      </w:r>
      <w:r w:rsidRPr="00E62B97">
        <w:t xml:space="preserve"> </w:t>
      </w:r>
      <w:r>
        <w:t xml:space="preserve">Orthopaedic Surgery </w:t>
      </w:r>
      <w:r w:rsidRPr="00E62B97">
        <w:t>Implementation Liaison Group (</w:t>
      </w:r>
      <w:r>
        <w:t>OS</w:t>
      </w:r>
      <w:r w:rsidRPr="00E62B97">
        <w:t xml:space="preserve">ILG). The </w:t>
      </w:r>
      <w:r>
        <w:t>OS</w:t>
      </w:r>
      <w:r w:rsidRPr="00E62B97">
        <w:t xml:space="preserve">ILG </w:t>
      </w:r>
      <w:r>
        <w:t xml:space="preserve">comprised </w:t>
      </w:r>
      <w:r w:rsidRPr="0058292E">
        <w:t xml:space="preserve">representatives </w:t>
      </w:r>
      <w:r>
        <w:t xml:space="preserve">of orthopaedic sub-specialty societies, the Australian Medical Association (AMA) and the private hospital and health insurance sectors. The OSILG provided advice on the </w:t>
      </w:r>
      <w:r w:rsidRPr="00E62B97">
        <w:t>implementation</w:t>
      </w:r>
      <w:r>
        <w:t xml:space="preserve"> of the item changes, including</w:t>
      </w:r>
      <w:r w:rsidRPr="00E62B97">
        <w:t xml:space="preserve"> identifying </w:t>
      </w:r>
      <w:r w:rsidR="00673BD5">
        <w:t xml:space="preserve">potential </w:t>
      </w:r>
      <w:r w:rsidRPr="00E62B97">
        <w:t>service gaps and preventing unintended consequences arising as an outcome of the review.</w:t>
      </w:r>
    </w:p>
    <w:p w14:paraId="0237B428" w14:textId="4AF1676B" w:rsidR="004B3CCD" w:rsidRDefault="004B3CCD" w:rsidP="004B3CCD">
      <w:pPr>
        <w:pStyle w:val="Heading2"/>
        <w:rPr>
          <w:color w:val="auto"/>
          <w:sz w:val="20"/>
          <w:szCs w:val="20"/>
        </w:rPr>
      </w:pPr>
      <w:r>
        <w:rPr>
          <w:color w:val="auto"/>
          <w:sz w:val="20"/>
          <w:szCs w:val="20"/>
        </w:rPr>
        <w:lastRenderedPageBreak/>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18F8BD6D" w14:textId="783FC00E" w:rsidR="008B1BED" w:rsidRPr="008B1BED" w:rsidRDefault="008B1BED" w:rsidP="008B1BED">
      <w:pPr>
        <w:pStyle w:val="Heading2"/>
        <w:rPr>
          <w:sz w:val="26"/>
          <w:szCs w:val="26"/>
        </w:rPr>
      </w:pPr>
      <w:r w:rsidRPr="008B1BED">
        <w:rPr>
          <w:sz w:val="26"/>
          <w:szCs w:val="26"/>
        </w:rPr>
        <w:t>What does this mean for providers?</w:t>
      </w:r>
    </w:p>
    <w:p w14:paraId="00DA8C19" w14:textId="7BCFDC12" w:rsidR="00EA1D2E" w:rsidRPr="004B3CCD" w:rsidRDefault="008B1BED" w:rsidP="008B1BED">
      <w:pPr>
        <w:pStyle w:val="Heading2"/>
        <w:rPr>
          <w:color w:val="auto"/>
          <w:sz w:val="20"/>
          <w:szCs w:val="20"/>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outlined in the legislation.</w:t>
      </w:r>
    </w:p>
    <w:p w14:paraId="0A0BA36F" w14:textId="7E2587E0" w:rsidR="008B1BED" w:rsidRPr="008B1BED" w:rsidRDefault="008B1BED" w:rsidP="008B1BED">
      <w:pPr>
        <w:pStyle w:val="Heading2"/>
        <w:rPr>
          <w:sz w:val="26"/>
          <w:szCs w:val="26"/>
        </w:rPr>
      </w:pPr>
      <w:r w:rsidRPr="008B1BED">
        <w:rPr>
          <w:sz w:val="26"/>
          <w:szCs w:val="26"/>
        </w:rPr>
        <w:t>How will these changes affect patients?</w:t>
      </w:r>
    </w:p>
    <w:p w14:paraId="14BA5D84" w14:textId="14B737A8" w:rsidR="003E0EB0" w:rsidRPr="008B1BED" w:rsidRDefault="008B1BED" w:rsidP="008B1BED">
      <w:pPr>
        <w:pStyle w:val="Heading2"/>
        <w:rPr>
          <w:color w:val="auto"/>
          <w:sz w:val="20"/>
          <w:szCs w:val="20"/>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sidR="00501700">
        <w:rPr>
          <w:color w:val="auto"/>
          <w:sz w:val="20"/>
          <w:szCs w:val="20"/>
        </w:rPr>
        <w:t>knee</w:t>
      </w:r>
      <w:r w:rsidR="00921291">
        <w:rPr>
          <w:color w:val="auto"/>
          <w:sz w:val="20"/>
          <w:szCs w:val="20"/>
        </w:rPr>
        <w:t xml:space="preserve"> surgery </w:t>
      </w:r>
      <w:r w:rsidRPr="008B1BED">
        <w:rPr>
          <w:color w:val="auto"/>
          <w:sz w:val="20"/>
          <w:szCs w:val="20"/>
        </w:rPr>
        <w:t>services that are clinically appropriate and reflect modern clinical practice.</w:t>
      </w:r>
    </w:p>
    <w:p w14:paraId="0CC8C300" w14:textId="77777777" w:rsidR="008B1BED" w:rsidRPr="008B1BED" w:rsidRDefault="008B1BED" w:rsidP="008B1BED">
      <w:pPr>
        <w:pStyle w:val="Heading2"/>
        <w:rPr>
          <w:sz w:val="26"/>
          <w:szCs w:val="26"/>
        </w:rPr>
      </w:pPr>
      <w:r w:rsidRPr="008B1BED">
        <w:rPr>
          <w:sz w:val="26"/>
          <w:szCs w:val="26"/>
        </w:rPr>
        <w:t>Who was consulted on the changes?</w:t>
      </w:r>
    </w:p>
    <w:p w14:paraId="6F83849D" w14:textId="77777777" w:rsidR="004B3CCD" w:rsidRDefault="004B3CCD" w:rsidP="004B3CCD">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23D9EA2C" w14:textId="77777777" w:rsidR="005E6C88" w:rsidRDefault="005E6C88" w:rsidP="005E6C88">
      <w:pPr>
        <w:pStyle w:val="Heading2"/>
        <w:rPr>
          <w:color w:val="auto"/>
          <w:sz w:val="20"/>
          <w:szCs w:val="20"/>
        </w:rPr>
      </w:pPr>
      <w:r>
        <w:rPr>
          <w:color w:val="auto"/>
          <w:sz w:val="20"/>
          <w:szCs w:val="20"/>
        </w:rPr>
        <w:t>The MBS Review included a public consultation process which provided feedback from peak bodies, clinical experts and consumers. Feedback from stakeholders was considered by the Taskforce prior to making its final recommendations to the Government.</w:t>
      </w:r>
    </w:p>
    <w:p w14:paraId="6E762F5C" w14:textId="77777777" w:rsidR="00921291" w:rsidRPr="00921291" w:rsidRDefault="00921291" w:rsidP="00921291">
      <w:pPr>
        <w:pStyle w:val="Heading2"/>
        <w:rPr>
          <w:sz w:val="26"/>
          <w:szCs w:val="26"/>
        </w:rPr>
      </w:pPr>
      <w:r w:rsidRPr="00921291">
        <w:rPr>
          <w:sz w:val="26"/>
          <w:szCs w:val="26"/>
        </w:rPr>
        <w:t>How will the changes be monitored and reviewed?</w:t>
      </w:r>
    </w:p>
    <w:p w14:paraId="4703D462" w14:textId="2644AB29" w:rsidR="00921291" w:rsidRPr="00921291" w:rsidRDefault="00921291" w:rsidP="00921291">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w:t>
      </w:r>
      <w:r w:rsidR="00501700">
        <w:rPr>
          <w:color w:val="auto"/>
          <w:sz w:val="20"/>
          <w:szCs w:val="20"/>
        </w:rPr>
        <w:t>knee</w:t>
      </w:r>
      <w:r>
        <w:rPr>
          <w:color w:val="auto"/>
          <w:sz w:val="20"/>
          <w:szCs w:val="20"/>
        </w:rPr>
        <w:t xml:space="preserve"> surgery </w:t>
      </w:r>
      <w:r w:rsidRPr="00921291">
        <w:rPr>
          <w:color w:val="auto"/>
          <w:sz w:val="20"/>
          <w:szCs w:val="20"/>
        </w:rPr>
        <w:t>items will be monitored and reviewed post implementation.</w:t>
      </w:r>
    </w:p>
    <w:p w14:paraId="78F78618" w14:textId="787E8E37" w:rsidR="00921291" w:rsidRPr="00921291" w:rsidRDefault="00921291" w:rsidP="00921291">
      <w:pPr>
        <w:pStyle w:val="Heading2"/>
        <w:rPr>
          <w:color w:val="auto"/>
          <w:sz w:val="20"/>
          <w:szCs w:val="20"/>
        </w:rPr>
      </w:pPr>
      <w:r>
        <w:rPr>
          <w:color w:val="auto"/>
          <w:sz w:val="20"/>
          <w:szCs w:val="20"/>
        </w:rPr>
        <w:t>All orthopaedic hand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7059211F" w14:textId="44063041" w:rsidR="003E0EB0" w:rsidRPr="00921291" w:rsidRDefault="00921291" w:rsidP="0071212A">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3D675523" w14:textId="00F3DC4E" w:rsidR="0071212A" w:rsidRPr="0071212A" w:rsidRDefault="00921291" w:rsidP="0071212A">
      <w:pPr>
        <w:pStyle w:val="Heading2"/>
        <w:rPr>
          <w:sz w:val="26"/>
          <w:szCs w:val="26"/>
        </w:rPr>
      </w:pPr>
      <w:r>
        <w:rPr>
          <w:sz w:val="26"/>
          <w:szCs w:val="26"/>
        </w:rPr>
        <w:t>Further information</w:t>
      </w:r>
    </w:p>
    <w:p w14:paraId="7FBA6BD4" w14:textId="32B7925B" w:rsidR="004B3CCD" w:rsidRPr="00DD2B7C" w:rsidRDefault="004B3CCD" w:rsidP="004B3CCD">
      <w:r>
        <w:t xml:space="preserve">The full item descriptor(s) and </w:t>
      </w:r>
      <w:r w:rsidRPr="007E14C4">
        <w:t xml:space="preserve">information on </w:t>
      </w:r>
      <w:r>
        <w:t xml:space="preserve">amended schedule fees are now available on the </w:t>
      </w:r>
      <w:hyperlink r:id="rId10" w:history="1">
        <w:r w:rsidRPr="00CA6B0F">
          <w:rPr>
            <w:rStyle w:val="Hyperlink"/>
          </w:rPr>
          <w:t>MBS Online</w:t>
        </w:r>
      </w:hyperlink>
      <w:r>
        <w:t xml:space="preserve"> website</w:t>
      </w:r>
      <w:r>
        <w:rPr>
          <w:rStyle w:val="Hyperlink"/>
        </w:rPr>
        <w:t>.</w:t>
      </w:r>
      <w:r w:rsidRPr="001A7BED">
        <w:t xml:space="preserve"> </w:t>
      </w:r>
      <w:r>
        <w:t xml:space="preserve">You can also subscribe to </w:t>
      </w:r>
      <w:r w:rsidRPr="00C812D8">
        <w:t>future</w:t>
      </w:r>
      <w:r w:rsidRPr="00215118">
        <w:t xml:space="preserve"> MBS updates </w:t>
      </w:r>
      <w:r>
        <w:t xml:space="preserve">by visiting MBS Online and clicking ‘Subscribe’. </w:t>
      </w:r>
    </w:p>
    <w:p w14:paraId="4473A15A" w14:textId="77777777" w:rsidR="00E937AA" w:rsidRDefault="00E937AA">
      <w:pPr>
        <w:spacing w:line="259" w:lineRule="auto"/>
        <w:rPr>
          <w:rFonts w:asciiTheme="majorHAnsi" w:hAnsiTheme="majorHAnsi"/>
          <w:color w:val="001A70" w:themeColor="text2"/>
          <w:sz w:val="26"/>
          <w:szCs w:val="26"/>
        </w:rPr>
      </w:pPr>
      <w:r>
        <w:rPr>
          <w:sz w:val="26"/>
          <w:szCs w:val="26"/>
        </w:rPr>
        <w:br w:type="page"/>
      </w:r>
    </w:p>
    <w:p w14:paraId="2D436BCB" w14:textId="2C75F639" w:rsidR="006116F4" w:rsidRPr="00921291" w:rsidRDefault="006116F4" w:rsidP="006116F4">
      <w:pPr>
        <w:pStyle w:val="Heading2"/>
        <w:rPr>
          <w:sz w:val="26"/>
          <w:szCs w:val="26"/>
        </w:rPr>
      </w:pPr>
      <w:r w:rsidRPr="00921291">
        <w:rPr>
          <w:sz w:val="26"/>
          <w:szCs w:val="26"/>
        </w:rPr>
        <w:lastRenderedPageBreak/>
        <w:t>Enquiries</w:t>
      </w:r>
    </w:p>
    <w:p w14:paraId="62BF804D" w14:textId="3F75AF17" w:rsidR="00E370F4" w:rsidRDefault="00E370F4" w:rsidP="00E370F4">
      <w:r>
        <w:t>For questions relating to implementation, or to the interpretation of the new orthopaedic surgery MBS items</w:t>
      </w:r>
      <w:r w:rsidR="00907951">
        <w:t xml:space="preserve">, </w:t>
      </w:r>
      <w:r>
        <w:t xml:space="preserve">please email </w:t>
      </w:r>
      <w:hyperlink r:id="rId11" w:history="1">
        <w:r w:rsidR="00B13AA5" w:rsidRPr="00B13AA5">
          <w:rPr>
            <w:rStyle w:val="Hyperlink"/>
          </w:rPr>
          <w:t>1july2021MBSchanges.orthopaedics@health.gov.au</w:t>
        </w:r>
      </w:hyperlink>
      <w:r w:rsidRPr="00B13AA5">
        <w:t>.</w:t>
      </w:r>
      <w:r>
        <w:t xml:space="preserve"> </w:t>
      </w:r>
    </w:p>
    <w:p w14:paraId="7D55E00E" w14:textId="14DC13F7" w:rsidR="00E370F4" w:rsidRDefault="00E370F4" w:rsidP="00E370F4">
      <w:r>
        <w:t>Subscribe to ‘</w:t>
      </w:r>
      <w:hyperlink r:id="rId12" w:history="1">
        <w:r w:rsidRPr="001408AA">
          <w:rPr>
            <w:rStyle w:val="Hyperlink"/>
          </w:rPr>
          <w:t>News for Health Professionals</w:t>
        </w:r>
      </w:hyperlink>
      <w:r>
        <w:t xml:space="preserve">’ on the Services </w:t>
      </w:r>
      <w:r w:rsidR="004521A7">
        <w:t xml:space="preserve">Australia </w:t>
      </w:r>
      <w:r>
        <w:t>website and you will receive regular news highlights.</w:t>
      </w:r>
    </w:p>
    <w:p w14:paraId="2767C991" w14:textId="45A05750" w:rsidR="00907951" w:rsidRDefault="00E370F4" w:rsidP="00E370F4">
      <w:r>
        <w:t xml:space="preserve">If you are seeking advice in relation to Medicare billing, claiming, payments, or obtaining a provider number, please </w:t>
      </w:r>
      <w:bookmarkStart w:id="2" w:name="_Hlk7773414"/>
      <w:r>
        <w:t xml:space="preserve">go to the Health Professionals page on the </w:t>
      </w:r>
      <w:r w:rsidR="004521A7">
        <w:t>Services Australia</w:t>
      </w:r>
      <w:r>
        <w:t xml:space="preserve"> website or </w:t>
      </w:r>
      <w:bookmarkEnd w:id="2"/>
      <w:r>
        <w:t xml:space="preserve">contact Services </w:t>
      </w:r>
      <w:r w:rsidR="004521A7">
        <w:t xml:space="preserve">Australia </w:t>
      </w:r>
      <w:r>
        <w:t xml:space="preserve">on the Provider Enquiry Line – 13 21 50. </w:t>
      </w:r>
    </w:p>
    <w:p w14:paraId="4CE7CBDD" w14:textId="30B67BB4" w:rsidR="00E370F4" w:rsidRDefault="00E370F4" w:rsidP="006116F4">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09EDDEF" w14:textId="70797570" w:rsidR="00656F11" w:rsidRPr="001408AA" w:rsidRDefault="00E370F4" w:rsidP="001408AA">
      <w:pPr>
        <w:pStyle w:val="Disclaimer"/>
        <w:jc w:val="center"/>
      </w:pPr>
      <w:r w:rsidRPr="0029176A">
        <w:t xml:space="preserve">This sheet is current as of the </w:t>
      </w:r>
      <w:r>
        <w:t>L</w:t>
      </w:r>
      <w:r w:rsidRPr="0029176A">
        <w:t>ast updated date</w:t>
      </w:r>
      <w:r>
        <w:t xml:space="preserve"> shown </w:t>
      </w:r>
      <w:r w:rsidR="005E6C88">
        <w:t>below</w:t>
      </w:r>
      <w:r w:rsidRPr="0029176A">
        <w:t>, and does not account for MBS changes</w:t>
      </w:r>
      <w:r>
        <w:t xml:space="preserve"> since that date</w:t>
      </w:r>
      <w:r w:rsidRPr="0029176A">
        <w:t>.</w:t>
      </w:r>
    </w:p>
    <w:sectPr w:rsidR="00656F11" w:rsidRPr="001408AA"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FF0A0A" w:rsidRDefault="00FF0A0A" w:rsidP="006D1088">
      <w:pPr>
        <w:spacing w:after="0" w:line="240" w:lineRule="auto"/>
      </w:pPr>
      <w:r>
        <w:separator/>
      </w:r>
    </w:p>
  </w:endnote>
  <w:endnote w:type="continuationSeparator" w:id="0">
    <w:p w14:paraId="3530A130" w14:textId="77777777" w:rsidR="00FF0A0A" w:rsidRDefault="00FF0A0A"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21CA7E56" w:rsidR="00FF0A0A" w:rsidRDefault="00D00F4D" w:rsidP="0001798A">
    <w:pPr>
      <w:pStyle w:val="Footer"/>
    </w:pPr>
    <w:r>
      <w:rPr>
        <w:rStyle w:val="BookTitle"/>
        <w:noProof/>
      </w:rPr>
      <w:pict w14:anchorId="0B51D9CD">
        <v:rect id="_x0000_i1025" style="width:523.3pt;height:1.9pt" o:hralign="center" o:hrstd="t" o:hr="t" fillcolor="#a0a0a0" stroked="f"/>
      </w:pict>
    </w:r>
    <w:r w:rsidR="00FF0A0A" w:rsidRPr="0001798A">
      <w:rPr>
        <w:b/>
      </w:rPr>
      <w:t>Medicare Benefits Schedule</w:t>
    </w:r>
    <w:r w:rsidR="00FF0A0A">
      <w:t xml:space="preserve"> </w:t>
    </w:r>
    <w:r w:rsidR="00FF0A0A" w:rsidRPr="0001798A">
      <w:rPr>
        <w:b/>
      </w:rPr>
      <w:t>Orthopaedic Surgery Items</w:t>
    </w:r>
    <w:r w:rsidR="00FF0A0A" w:rsidRPr="00E863C4">
      <w:rPr>
        <w:b/>
      </w:rPr>
      <w:t xml:space="preserve"> – </w:t>
    </w:r>
    <w:r w:rsidR="00FF0A0A">
      <w:rPr>
        <w:b/>
      </w:rPr>
      <w:t>Factsheet</w:t>
    </w:r>
    <w:r w:rsidR="00FF0A0A" w:rsidRPr="00E863C4">
      <w:t xml:space="preserve"> </w:t>
    </w:r>
    <w:sdt>
      <w:sdtPr>
        <w:id w:val="960607005"/>
        <w:docPartObj>
          <w:docPartGallery w:val="Page Numbers (Bottom of Page)"/>
          <w:docPartUnique/>
        </w:docPartObj>
      </w:sdtPr>
      <w:sdtEndPr>
        <w:rPr>
          <w:noProof/>
        </w:rPr>
      </w:sdtEndPr>
      <w:sdtContent>
        <w:r w:rsidR="00FF0A0A">
          <w:tab/>
        </w:r>
        <w:r w:rsidR="00FF0A0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FF0A0A" w:rsidRPr="00F546CA">
                  <w:t xml:space="preserve">Page </w:t>
                </w:r>
                <w:r w:rsidR="00FF0A0A" w:rsidRPr="00F546CA">
                  <w:rPr>
                    <w:bCs/>
                    <w:sz w:val="24"/>
                    <w:szCs w:val="24"/>
                  </w:rPr>
                  <w:fldChar w:fldCharType="begin"/>
                </w:r>
                <w:r w:rsidR="00FF0A0A" w:rsidRPr="00F546CA">
                  <w:rPr>
                    <w:bCs/>
                  </w:rPr>
                  <w:instrText xml:space="preserve"> PAGE </w:instrText>
                </w:r>
                <w:r w:rsidR="00FF0A0A" w:rsidRPr="00F546CA">
                  <w:rPr>
                    <w:bCs/>
                    <w:sz w:val="24"/>
                    <w:szCs w:val="24"/>
                  </w:rPr>
                  <w:fldChar w:fldCharType="separate"/>
                </w:r>
                <w:r w:rsidR="00673BD5">
                  <w:rPr>
                    <w:bCs/>
                    <w:noProof/>
                  </w:rPr>
                  <w:t>9</w:t>
                </w:r>
                <w:r w:rsidR="00FF0A0A" w:rsidRPr="00F546CA">
                  <w:rPr>
                    <w:bCs/>
                    <w:sz w:val="24"/>
                    <w:szCs w:val="24"/>
                  </w:rPr>
                  <w:fldChar w:fldCharType="end"/>
                </w:r>
                <w:r w:rsidR="00FF0A0A" w:rsidRPr="00F546CA">
                  <w:t xml:space="preserve"> of </w:t>
                </w:r>
                <w:r w:rsidR="00FF0A0A" w:rsidRPr="00F546CA">
                  <w:rPr>
                    <w:bCs/>
                    <w:sz w:val="24"/>
                    <w:szCs w:val="24"/>
                  </w:rPr>
                  <w:fldChar w:fldCharType="begin"/>
                </w:r>
                <w:r w:rsidR="00FF0A0A" w:rsidRPr="00F546CA">
                  <w:rPr>
                    <w:bCs/>
                  </w:rPr>
                  <w:instrText xml:space="preserve"> NUMPAGES  </w:instrText>
                </w:r>
                <w:r w:rsidR="00FF0A0A" w:rsidRPr="00F546CA">
                  <w:rPr>
                    <w:bCs/>
                    <w:sz w:val="24"/>
                    <w:szCs w:val="24"/>
                  </w:rPr>
                  <w:fldChar w:fldCharType="separate"/>
                </w:r>
                <w:r w:rsidR="00673BD5">
                  <w:rPr>
                    <w:bCs/>
                    <w:noProof/>
                  </w:rPr>
                  <w:t>10</w:t>
                </w:r>
                <w:r w:rsidR="00FF0A0A" w:rsidRPr="00F546CA">
                  <w:rPr>
                    <w:bCs/>
                    <w:sz w:val="24"/>
                    <w:szCs w:val="24"/>
                  </w:rPr>
                  <w:fldChar w:fldCharType="end"/>
                </w:r>
              </w:sdtContent>
            </w:sdt>
          </w:sdtContent>
        </w:sdt>
        <w:r w:rsidR="00FF0A0A">
          <w:t xml:space="preserve"> </w:t>
        </w:r>
      </w:sdtContent>
    </w:sdt>
  </w:p>
  <w:p w14:paraId="706AA6C8" w14:textId="77777777" w:rsidR="00FF0A0A" w:rsidRDefault="00D00F4D">
    <w:pPr>
      <w:pStyle w:val="Footer"/>
      <w:rPr>
        <w:rStyle w:val="Hyperlink"/>
        <w:szCs w:val="18"/>
      </w:rPr>
    </w:pPr>
    <w:hyperlink r:id="rId1" w:history="1">
      <w:r w:rsidR="00FF0A0A" w:rsidRPr="00E863C4">
        <w:rPr>
          <w:rStyle w:val="Hyperlink"/>
          <w:szCs w:val="18"/>
        </w:rPr>
        <w:t>MBS Online</w:t>
      </w:r>
    </w:hyperlink>
  </w:p>
  <w:p w14:paraId="468D2F08" w14:textId="47A33F63" w:rsidR="00FF0A0A" w:rsidRPr="009B32BA" w:rsidRDefault="00FF0A0A">
    <w:pPr>
      <w:pStyle w:val="Footer"/>
      <w:rPr>
        <w:szCs w:val="18"/>
      </w:rPr>
    </w:pPr>
    <w:r w:rsidRPr="000164D7">
      <w:t xml:space="preserve">Last updated – </w:t>
    </w:r>
    <w:r w:rsidR="00673BD5">
      <w:t>1 July</w:t>
    </w:r>
    <w:r w:rsidRPr="000164D7">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FF0A0A" w:rsidRDefault="00FF0A0A" w:rsidP="006D1088">
      <w:pPr>
        <w:spacing w:after="0" w:line="240" w:lineRule="auto"/>
      </w:pPr>
      <w:r>
        <w:separator/>
      </w:r>
    </w:p>
  </w:footnote>
  <w:footnote w:type="continuationSeparator" w:id="0">
    <w:p w14:paraId="089BECC8" w14:textId="77777777" w:rsidR="00FF0A0A" w:rsidRDefault="00FF0A0A"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560CE849" w:rsidR="00FF0A0A" w:rsidRDefault="00FF0A0A">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F1C"/>
    <w:multiLevelType w:val="hybridMultilevel"/>
    <w:tmpl w:val="9676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F0D9B"/>
    <w:multiLevelType w:val="hybridMultilevel"/>
    <w:tmpl w:val="713A5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72535"/>
    <w:multiLevelType w:val="hybridMultilevel"/>
    <w:tmpl w:val="269A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B6488"/>
    <w:multiLevelType w:val="hybridMultilevel"/>
    <w:tmpl w:val="97E2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A5F58"/>
    <w:multiLevelType w:val="hybridMultilevel"/>
    <w:tmpl w:val="16E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119D4"/>
    <w:multiLevelType w:val="hybridMultilevel"/>
    <w:tmpl w:val="2334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C5436"/>
    <w:multiLevelType w:val="hybridMultilevel"/>
    <w:tmpl w:val="A9D8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73E35"/>
    <w:multiLevelType w:val="hybridMultilevel"/>
    <w:tmpl w:val="5AA85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687487B"/>
    <w:multiLevelType w:val="hybridMultilevel"/>
    <w:tmpl w:val="DB30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E71DF"/>
    <w:multiLevelType w:val="hybridMultilevel"/>
    <w:tmpl w:val="860617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BAE6D53"/>
    <w:multiLevelType w:val="hybridMultilevel"/>
    <w:tmpl w:val="8B0C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12527"/>
    <w:multiLevelType w:val="hybridMultilevel"/>
    <w:tmpl w:val="E1C87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37699"/>
    <w:multiLevelType w:val="hybridMultilevel"/>
    <w:tmpl w:val="3008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B23E7"/>
    <w:multiLevelType w:val="hybridMultilevel"/>
    <w:tmpl w:val="3D485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4434D"/>
    <w:multiLevelType w:val="hybridMultilevel"/>
    <w:tmpl w:val="566A8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D0D12"/>
    <w:multiLevelType w:val="hybridMultilevel"/>
    <w:tmpl w:val="291A1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863166"/>
    <w:multiLevelType w:val="hybridMultilevel"/>
    <w:tmpl w:val="B5AC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8B506A"/>
    <w:multiLevelType w:val="hybridMultilevel"/>
    <w:tmpl w:val="816C8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A4773"/>
    <w:multiLevelType w:val="hybridMultilevel"/>
    <w:tmpl w:val="FE18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D3078"/>
    <w:multiLevelType w:val="hybridMultilevel"/>
    <w:tmpl w:val="2A68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47A9E"/>
    <w:multiLevelType w:val="hybridMultilevel"/>
    <w:tmpl w:val="8E2E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51576"/>
    <w:multiLevelType w:val="hybridMultilevel"/>
    <w:tmpl w:val="0CDA7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45CFD"/>
    <w:multiLevelType w:val="hybridMultilevel"/>
    <w:tmpl w:val="2246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5C0DB3"/>
    <w:multiLevelType w:val="hybridMultilevel"/>
    <w:tmpl w:val="87762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072F3D"/>
    <w:multiLevelType w:val="hybridMultilevel"/>
    <w:tmpl w:val="EA902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7C02A7"/>
    <w:multiLevelType w:val="hybridMultilevel"/>
    <w:tmpl w:val="C2B8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CB0794"/>
    <w:multiLevelType w:val="hybridMultilevel"/>
    <w:tmpl w:val="DDCA3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C5B5A"/>
    <w:multiLevelType w:val="hybridMultilevel"/>
    <w:tmpl w:val="8E6A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321010"/>
    <w:multiLevelType w:val="hybridMultilevel"/>
    <w:tmpl w:val="E574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935319"/>
    <w:multiLevelType w:val="hybridMultilevel"/>
    <w:tmpl w:val="59AE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C0D1B"/>
    <w:multiLevelType w:val="hybridMultilevel"/>
    <w:tmpl w:val="E37A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
  </w:num>
  <w:num w:numId="4">
    <w:abstractNumId w:val="4"/>
  </w:num>
  <w:num w:numId="5">
    <w:abstractNumId w:val="29"/>
  </w:num>
  <w:num w:numId="6">
    <w:abstractNumId w:val="20"/>
  </w:num>
  <w:num w:numId="7">
    <w:abstractNumId w:val="6"/>
  </w:num>
  <w:num w:numId="8">
    <w:abstractNumId w:val="12"/>
  </w:num>
  <w:num w:numId="9">
    <w:abstractNumId w:val="30"/>
  </w:num>
  <w:num w:numId="10">
    <w:abstractNumId w:val="7"/>
  </w:num>
  <w:num w:numId="11">
    <w:abstractNumId w:val="27"/>
  </w:num>
  <w:num w:numId="12">
    <w:abstractNumId w:val="25"/>
  </w:num>
  <w:num w:numId="13">
    <w:abstractNumId w:val="28"/>
  </w:num>
  <w:num w:numId="14">
    <w:abstractNumId w:val="14"/>
  </w:num>
  <w:num w:numId="15">
    <w:abstractNumId w:val="9"/>
  </w:num>
  <w:num w:numId="16">
    <w:abstractNumId w:val="17"/>
  </w:num>
  <w:num w:numId="17">
    <w:abstractNumId w:val="24"/>
  </w:num>
  <w:num w:numId="18">
    <w:abstractNumId w:val="31"/>
  </w:num>
  <w:num w:numId="19">
    <w:abstractNumId w:val="5"/>
  </w:num>
  <w:num w:numId="20">
    <w:abstractNumId w:val="16"/>
  </w:num>
  <w:num w:numId="21">
    <w:abstractNumId w:val="26"/>
  </w:num>
  <w:num w:numId="22">
    <w:abstractNumId w:val="11"/>
  </w:num>
  <w:num w:numId="23">
    <w:abstractNumId w:val="19"/>
  </w:num>
  <w:num w:numId="24">
    <w:abstractNumId w:val="1"/>
  </w:num>
  <w:num w:numId="25">
    <w:abstractNumId w:val="2"/>
  </w:num>
  <w:num w:numId="26">
    <w:abstractNumId w:val="22"/>
  </w:num>
  <w:num w:numId="27">
    <w:abstractNumId w:val="0"/>
  </w:num>
  <w:num w:numId="28">
    <w:abstractNumId w:val="13"/>
  </w:num>
  <w:num w:numId="29">
    <w:abstractNumId w:val="15"/>
  </w:num>
  <w:num w:numId="30">
    <w:abstractNumId w:val="21"/>
  </w:num>
  <w:num w:numId="31">
    <w:abstractNumId w:val="18"/>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74DD"/>
    <w:rsid w:val="000164D7"/>
    <w:rsid w:val="0001798A"/>
    <w:rsid w:val="000337A4"/>
    <w:rsid w:val="000347FE"/>
    <w:rsid w:val="000367AA"/>
    <w:rsid w:val="00045810"/>
    <w:rsid w:val="00081B97"/>
    <w:rsid w:val="0009225E"/>
    <w:rsid w:val="000A2F0A"/>
    <w:rsid w:val="000B01AE"/>
    <w:rsid w:val="000B233B"/>
    <w:rsid w:val="000B2A1B"/>
    <w:rsid w:val="000B616E"/>
    <w:rsid w:val="000C2143"/>
    <w:rsid w:val="000C3B83"/>
    <w:rsid w:val="000D1778"/>
    <w:rsid w:val="000E7A62"/>
    <w:rsid w:val="000F2165"/>
    <w:rsid w:val="000F737E"/>
    <w:rsid w:val="001014EB"/>
    <w:rsid w:val="00102885"/>
    <w:rsid w:val="0010555F"/>
    <w:rsid w:val="00111196"/>
    <w:rsid w:val="00121100"/>
    <w:rsid w:val="00121BAC"/>
    <w:rsid w:val="00124E0B"/>
    <w:rsid w:val="00130343"/>
    <w:rsid w:val="00135417"/>
    <w:rsid w:val="00137B05"/>
    <w:rsid w:val="001408AA"/>
    <w:rsid w:val="00141BC3"/>
    <w:rsid w:val="001432AF"/>
    <w:rsid w:val="00150C0D"/>
    <w:rsid w:val="00151636"/>
    <w:rsid w:val="00155BD4"/>
    <w:rsid w:val="00167446"/>
    <w:rsid w:val="0017279A"/>
    <w:rsid w:val="00181B52"/>
    <w:rsid w:val="0018507E"/>
    <w:rsid w:val="0019170A"/>
    <w:rsid w:val="001A6FE6"/>
    <w:rsid w:val="001A7FB7"/>
    <w:rsid w:val="001C5C56"/>
    <w:rsid w:val="001E4DE0"/>
    <w:rsid w:val="001E6F63"/>
    <w:rsid w:val="001F49E8"/>
    <w:rsid w:val="00200902"/>
    <w:rsid w:val="00201831"/>
    <w:rsid w:val="00203F3E"/>
    <w:rsid w:val="00204B01"/>
    <w:rsid w:val="00210EF2"/>
    <w:rsid w:val="00215A92"/>
    <w:rsid w:val="00221334"/>
    <w:rsid w:val="002427E0"/>
    <w:rsid w:val="00243D1C"/>
    <w:rsid w:val="00253CDA"/>
    <w:rsid w:val="00256296"/>
    <w:rsid w:val="00263E02"/>
    <w:rsid w:val="002648D6"/>
    <w:rsid w:val="0026502E"/>
    <w:rsid w:val="00276A29"/>
    <w:rsid w:val="00281820"/>
    <w:rsid w:val="002859D5"/>
    <w:rsid w:val="00291041"/>
    <w:rsid w:val="002931FF"/>
    <w:rsid w:val="002A3C7C"/>
    <w:rsid w:val="002A5A70"/>
    <w:rsid w:val="002B3FCB"/>
    <w:rsid w:val="002B6E10"/>
    <w:rsid w:val="002B70AC"/>
    <w:rsid w:val="002D2CC5"/>
    <w:rsid w:val="002E6682"/>
    <w:rsid w:val="002E761E"/>
    <w:rsid w:val="003079D8"/>
    <w:rsid w:val="003122B4"/>
    <w:rsid w:val="00337919"/>
    <w:rsid w:val="00345DC5"/>
    <w:rsid w:val="00352174"/>
    <w:rsid w:val="00352F9A"/>
    <w:rsid w:val="00355E8A"/>
    <w:rsid w:val="00360EAE"/>
    <w:rsid w:val="00363819"/>
    <w:rsid w:val="00374AE3"/>
    <w:rsid w:val="00375AD0"/>
    <w:rsid w:val="003A52BA"/>
    <w:rsid w:val="003B56AD"/>
    <w:rsid w:val="003D0206"/>
    <w:rsid w:val="003D418E"/>
    <w:rsid w:val="003D5CEF"/>
    <w:rsid w:val="003E0945"/>
    <w:rsid w:val="003E0EB0"/>
    <w:rsid w:val="003E6457"/>
    <w:rsid w:val="003E6884"/>
    <w:rsid w:val="003F6682"/>
    <w:rsid w:val="00405506"/>
    <w:rsid w:val="00420023"/>
    <w:rsid w:val="00425089"/>
    <w:rsid w:val="00427D7F"/>
    <w:rsid w:val="004324B6"/>
    <w:rsid w:val="00433682"/>
    <w:rsid w:val="0043744D"/>
    <w:rsid w:val="00445086"/>
    <w:rsid w:val="004511F2"/>
    <w:rsid w:val="004521A7"/>
    <w:rsid w:val="00471B48"/>
    <w:rsid w:val="00484C45"/>
    <w:rsid w:val="00484F1A"/>
    <w:rsid w:val="004933FA"/>
    <w:rsid w:val="00494B72"/>
    <w:rsid w:val="00496081"/>
    <w:rsid w:val="004A1348"/>
    <w:rsid w:val="004B243F"/>
    <w:rsid w:val="004B3CCD"/>
    <w:rsid w:val="004C2B08"/>
    <w:rsid w:val="004D2C7C"/>
    <w:rsid w:val="004D309E"/>
    <w:rsid w:val="004D71C4"/>
    <w:rsid w:val="004E52A2"/>
    <w:rsid w:val="004F0AA6"/>
    <w:rsid w:val="004F272F"/>
    <w:rsid w:val="004F3141"/>
    <w:rsid w:val="004F7E8D"/>
    <w:rsid w:val="00501700"/>
    <w:rsid w:val="00501FF0"/>
    <w:rsid w:val="00510063"/>
    <w:rsid w:val="00525223"/>
    <w:rsid w:val="005261D0"/>
    <w:rsid w:val="0054242B"/>
    <w:rsid w:val="00542F07"/>
    <w:rsid w:val="00543427"/>
    <w:rsid w:val="00545A8A"/>
    <w:rsid w:val="00550525"/>
    <w:rsid w:val="00552645"/>
    <w:rsid w:val="00553847"/>
    <w:rsid w:val="00564B90"/>
    <w:rsid w:val="00570B62"/>
    <w:rsid w:val="00575ED7"/>
    <w:rsid w:val="00583515"/>
    <w:rsid w:val="00583AED"/>
    <w:rsid w:val="00595BBD"/>
    <w:rsid w:val="0059641E"/>
    <w:rsid w:val="005E1472"/>
    <w:rsid w:val="005E6C88"/>
    <w:rsid w:val="00606F97"/>
    <w:rsid w:val="006116F4"/>
    <w:rsid w:val="00613310"/>
    <w:rsid w:val="00614D1A"/>
    <w:rsid w:val="006173AC"/>
    <w:rsid w:val="0062100F"/>
    <w:rsid w:val="00621A16"/>
    <w:rsid w:val="00630810"/>
    <w:rsid w:val="00634880"/>
    <w:rsid w:val="006425BA"/>
    <w:rsid w:val="006507DA"/>
    <w:rsid w:val="00650B9A"/>
    <w:rsid w:val="00653345"/>
    <w:rsid w:val="006545AD"/>
    <w:rsid w:val="00654680"/>
    <w:rsid w:val="00655D74"/>
    <w:rsid w:val="00656F11"/>
    <w:rsid w:val="006730E9"/>
    <w:rsid w:val="00673BD5"/>
    <w:rsid w:val="00680C4A"/>
    <w:rsid w:val="00684D37"/>
    <w:rsid w:val="00691066"/>
    <w:rsid w:val="006938EB"/>
    <w:rsid w:val="00694030"/>
    <w:rsid w:val="006961D6"/>
    <w:rsid w:val="006A175B"/>
    <w:rsid w:val="006A257C"/>
    <w:rsid w:val="006D04CC"/>
    <w:rsid w:val="006D1088"/>
    <w:rsid w:val="006D2A35"/>
    <w:rsid w:val="006D48D3"/>
    <w:rsid w:val="006E4F95"/>
    <w:rsid w:val="006F5785"/>
    <w:rsid w:val="006F78ED"/>
    <w:rsid w:val="007108CD"/>
    <w:rsid w:val="0071212A"/>
    <w:rsid w:val="00726103"/>
    <w:rsid w:val="00727F4C"/>
    <w:rsid w:val="00734F6B"/>
    <w:rsid w:val="00736D31"/>
    <w:rsid w:val="00746CF8"/>
    <w:rsid w:val="00771DE9"/>
    <w:rsid w:val="00777029"/>
    <w:rsid w:val="00781867"/>
    <w:rsid w:val="007851A7"/>
    <w:rsid w:val="0079304C"/>
    <w:rsid w:val="007A0F3E"/>
    <w:rsid w:val="007C2A58"/>
    <w:rsid w:val="007C4513"/>
    <w:rsid w:val="007D1D3A"/>
    <w:rsid w:val="007E2604"/>
    <w:rsid w:val="007E2749"/>
    <w:rsid w:val="007E33D2"/>
    <w:rsid w:val="00807ECE"/>
    <w:rsid w:val="00820202"/>
    <w:rsid w:val="00834903"/>
    <w:rsid w:val="008352AC"/>
    <w:rsid w:val="00842080"/>
    <w:rsid w:val="008448E2"/>
    <w:rsid w:val="00845C67"/>
    <w:rsid w:val="00851D19"/>
    <w:rsid w:val="00852651"/>
    <w:rsid w:val="008553F7"/>
    <w:rsid w:val="00864CCD"/>
    <w:rsid w:val="00864E28"/>
    <w:rsid w:val="008766AD"/>
    <w:rsid w:val="00881219"/>
    <w:rsid w:val="008840FF"/>
    <w:rsid w:val="0088793F"/>
    <w:rsid w:val="008936CF"/>
    <w:rsid w:val="008957B9"/>
    <w:rsid w:val="008A6F4F"/>
    <w:rsid w:val="008B19E2"/>
    <w:rsid w:val="008B1BED"/>
    <w:rsid w:val="008D1238"/>
    <w:rsid w:val="008E258C"/>
    <w:rsid w:val="008E4C9B"/>
    <w:rsid w:val="008E657C"/>
    <w:rsid w:val="008E7B7C"/>
    <w:rsid w:val="008F1594"/>
    <w:rsid w:val="008F2E7A"/>
    <w:rsid w:val="008F4B45"/>
    <w:rsid w:val="008F60F0"/>
    <w:rsid w:val="009000AA"/>
    <w:rsid w:val="0090265D"/>
    <w:rsid w:val="00907951"/>
    <w:rsid w:val="00907B4A"/>
    <w:rsid w:val="0091706C"/>
    <w:rsid w:val="00921291"/>
    <w:rsid w:val="00925595"/>
    <w:rsid w:val="009258F4"/>
    <w:rsid w:val="00934ED4"/>
    <w:rsid w:val="00941379"/>
    <w:rsid w:val="00942A31"/>
    <w:rsid w:val="0094532F"/>
    <w:rsid w:val="009542F2"/>
    <w:rsid w:val="009562F4"/>
    <w:rsid w:val="009671FC"/>
    <w:rsid w:val="009676E7"/>
    <w:rsid w:val="00977405"/>
    <w:rsid w:val="00977536"/>
    <w:rsid w:val="00980E56"/>
    <w:rsid w:val="0098399A"/>
    <w:rsid w:val="009840B4"/>
    <w:rsid w:val="009858E2"/>
    <w:rsid w:val="009A6B12"/>
    <w:rsid w:val="009B32BA"/>
    <w:rsid w:val="009B51E7"/>
    <w:rsid w:val="009B5206"/>
    <w:rsid w:val="009B7859"/>
    <w:rsid w:val="009C1A29"/>
    <w:rsid w:val="009C742B"/>
    <w:rsid w:val="009D0B98"/>
    <w:rsid w:val="009D1906"/>
    <w:rsid w:val="009E4A9E"/>
    <w:rsid w:val="009E66EE"/>
    <w:rsid w:val="009E6DE2"/>
    <w:rsid w:val="009F52D4"/>
    <w:rsid w:val="00A006BA"/>
    <w:rsid w:val="00A07A39"/>
    <w:rsid w:val="00A24056"/>
    <w:rsid w:val="00A26321"/>
    <w:rsid w:val="00A3287F"/>
    <w:rsid w:val="00A37CE3"/>
    <w:rsid w:val="00A51FC5"/>
    <w:rsid w:val="00A5339D"/>
    <w:rsid w:val="00A5641C"/>
    <w:rsid w:val="00A60FB7"/>
    <w:rsid w:val="00A64177"/>
    <w:rsid w:val="00A7172E"/>
    <w:rsid w:val="00A87D37"/>
    <w:rsid w:val="00A91196"/>
    <w:rsid w:val="00A93CB3"/>
    <w:rsid w:val="00AA41CD"/>
    <w:rsid w:val="00AA5232"/>
    <w:rsid w:val="00AA69A9"/>
    <w:rsid w:val="00AB53A4"/>
    <w:rsid w:val="00AB57A3"/>
    <w:rsid w:val="00AC7828"/>
    <w:rsid w:val="00AD48B1"/>
    <w:rsid w:val="00AE2F7E"/>
    <w:rsid w:val="00AE423E"/>
    <w:rsid w:val="00AE525E"/>
    <w:rsid w:val="00AE53A3"/>
    <w:rsid w:val="00AE6945"/>
    <w:rsid w:val="00B04DA0"/>
    <w:rsid w:val="00B06E28"/>
    <w:rsid w:val="00B13AA5"/>
    <w:rsid w:val="00B15CE8"/>
    <w:rsid w:val="00B17930"/>
    <w:rsid w:val="00B2044B"/>
    <w:rsid w:val="00B23A4C"/>
    <w:rsid w:val="00B23AF1"/>
    <w:rsid w:val="00B31FBA"/>
    <w:rsid w:val="00B378D4"/>
    <w:rsid w:val="00B3793F"/>
    <w:rsid w:val="00B37D92"/>
    <w:rsid w:val="00B37FAE"/>
    <w:rsid w:val="00B4302C"/>
    <w:rsid w:val="00B47E3F"/>
    <w:rsid w:val="00B542FB"/>
    <w:rsid w:val="00B650BE"/>
    <w:rsid w:val="00B677E2"/>
    <w:rsid w:val="00B70743"/>
    <w:rsid w:val="00B714E8"/>
    <w:rsid w:val="00B83E3D"/>
    <w:rsid w:val="00B90DB5"/>
    <w:rsid w:val="00BA0109"/>
    <w:rsid w:val="00BA7CA8"/>
    <w:rsid w:val="00BB25DE"/>
    <w:rsid w:val="00BB7B82"/>
    <w:rsid w:val="00BC50C1"/>
    <w:rsid w:val="00BD1C20"/>
    <w:rsid w:val="00BD2649"/>
    <w:rsid w:val="00BE2018"/>
    <w:rsid w:val="00BE505F"/>
    <w:rsid w:val="00BF00A9"/>
    <w:rsid w:val="00BF426F"/>
    <w:rsid w:val="00C0126E"/>
    <w:rsid w:val="00C11326"/>
    <w:rsid w:val="00C11C1C"/>
    <w:rsid w:val="00C131B4"/>
    <w:rsid w:val="00C131D7"/>
    <w:rsid w:val="00C13ABA"/>
    <w:rsid w:val="00C4491F"/>
    <w:rsid w:val="00C61A31"/>
    <w:rsid w:val="00C66700"/>
    <w:rsid w:val="00C81123"/>
    <w:rsid w:val="00C82067"/>
    <w:rsid w:val="00CA5F76"/>
    <w:rsid w:val="00CB1323"/>
    <w:rsid w:val="00CC39C8"/>
    <w:rsid w:val="00CF45CC"/>
    <w:rsid w:val="00D00F4D"/>
    <w:rsid w:val="00D01121"/>
    <w:rsid w:val="00D061E9"/>
    <w:rsid w:val="00D11EDB"/>
    <w:rsid w:val="00D1394A"/>
    <w:rsid w:val="00D13C21"/>
    <w:rsid w:val="00D16EF3"/>
    <w:rsid w:val="00D3244E"/>
    <w:rsid w:val="00D36F35"/>
    <w:rsid w:val="00D37294"/>
    <w:rsid w:val="00D3741F"/>
    <w:rsid w:val="00D422E5"/>
    <w:rsid w:val="00D44068"/>
    <w:rsid w:val="00D56070"/>
    <w:rsid w:val="00D62923"/>
    <w:rsid w:val="00D6302E"/>
    <w:rsid w:val="00D67E9A"/>
    <w:rsid w:val="00D76659"/>
    <w:rsid w:val="00D86EFC"/>
    <w:rsid w:val="00DA50D6"/>
    <w:rsid w:val="00DB54A4"/>
    <w:rsid w:val="00DC127A"/>
    <w:rsid w:val="00DC356C"/>
    <w:rsid w:val="00DC6A29"/>
    <w:rsid w:val="00DD2B7C"/>
    <w:rsid w:val="00DE22E2"/>
    <w:rsid w:val="00DF7606"/>
    <w:rsid w:val="00DF7C32"/>
    <w:rsid w:val="00E00B27"/>
    <w:rsid w:val="00E11077"/>
    <w:rsid w:val="00E135B8"/>
    <w:rsid w:val="00E16637"/>
    <w:rsid w:val="00E370F4"/>
    <w:rsid w:val="00E43F82"/>
    <w:rsid w:val="00E4614A"/>
    <w:rsid w:val="00E530F4"/>
    <w:rsid w:val="00E669BD"/>
    <w:rsid w:val="00E7403A"/>
    <w:rsid w:val="00E7460D"/>
    <w:rsid w:val="00E74E72"/>
    <w:rsid w:val="00E760CD"/>
    <w:rsid w:val="00E81287"/>
    <w:rsid w:val="00E906B0"/>
    <w:rsid w:val="00E937AA"/>
    <w:rsid w:val="00EA1D2E"/>
    <w:rsid w:val="00EA2CDC"/>
    <w:rsid w:val="00EB74D2"/>
    <w:rsid w:val="00EC1B51"/>
    <w:rsid w:val="00EC2DBE"/>
    <w:rsid w:val="00ED1055"/>
    <w:rsid w:val="00ED2B70"/>
    <w:rsid w:val="00ED60EE"/>
    <w:rsid w:val="00F0162F"/>
    <w:rsid w:val="00F074CE"/>
    <w:rsid w:val="00F0776F"/>
    <w:rsid w:val="00F07E89"/>
    <w:rsid w:val="00F2048D"/>
    <w:rsid w:val="00F22823"/>
    <w:rsid w:val="00F2381C"/>
    <w:rsid w:val="00F24F33"/>
    <w:rsid w:val="00F33D07"/>
    <w:rsid w:val="00F50491"/>
    <w:rsid w:val="00F50994"/>
    <w:rsid w:val="00F74AD4"/>
    <w:rsid w:val="00F74DFC"/>
    <w:rsid w:val="00F93F71"/>
    <w:rsid w:val="00FB4DEF"/>
    <w:rsid w:val="00FC690D"/>
    <w:rsid w:val="00FD1E77"/>
    <w:rsid w:val="00FE50B6"/>
    <w:rsid w:val="00FF0A0A"/>
    <w:rsid w:val="00FF3729"/>
    <w:rsid w:val="00FF3A75"/>
    <w:rsid w:val="00FF3B72"/>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248925507">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2021-06-21T08:09:00Z</dcterms:created>
  <dcterms:modified xsi:type="dcterms:W3CDTF">2021-07-08T01:58:00Z</dcterms:modified>
</cp:coreProperties>
</file>