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142C" w:rsidRDefault="009D2417" w:rsidP="009D2417">
      <w:pPr>
        <w:pStyle w:val="Heading2"/>
      </w:pPr>
      <w:bookmarkStart w:id="0" w:name="_Ref394501517"/>
      <w:bookmarkStart w:id="1" w:name="_GoBack"/>
      <w:bookmarkEnd w:id="1"/>
      <w:r>
        <w:t xml:space="preserve">Medicare Health Assessments </w:t>
      </w:r>
      <w:r w:rsidR="00DB6CEE">
        <w:br/>
      </w:r>
      <w:r>
        <w:t>(MBS Items 701-707 and 715)</w:t>
      </w:r>
      <w:bookmarkEnd w:id="0"/>
    </w:p>
    <w:p w:rsidR="005A7FD7" w:rsidRPr="005A7FD7" w:rsidRDefault="005A7FD7" w:rsidP="00752807">
      <w:r w:rsidRPr="005A7FD7">
        <w:t>Medicare health assessments provided by general practitioners (GPs) may be delivered using Medicare items 701 to 707 (the general, time-tiered health assessment items) and 715 (the Aboriginal and Torres Strait Islander Health Assessment).</w:t>
      </w:r>
    </w:p>
    <w:p w:rsidR="005A7FD7" w:rsidRDefault="005A7FD7" w:rsidP="00752807">
      <w:r w:rsidRPr="005A7FD7">
        <w:t>The health assessments are generally made up of the following elements:</w:t>
      </w:r>
    </w:p>
    <w:p w:rsidR="005A7FD7" w:rsidRPr="005A7FD7" w:rsidRDefault="005A7FD7" w:rsidP="00752807">
      <w:pPr>
        <w:pStyle w:val="Bullets"/>
      </w:pPr>
      <w:r w:rsidRPr="005A7FD7">
        <w:t>information collection, including taking a patient history and undertaking or arranging examinations and investigations as required;</w:t>
      </w:r>
    </w:p>
    <w:p w:rsidR="005A7FD7" w:rsidRPr="005A7FD7" w:rsidRDefault="005A7FD7" w:rsidP="00752807">
      <w:pPr>
        <w:pStyle w:val="Bullets"/>
      </w:pPr>
      <w:r w:rsidRPr="005A7FD7">
        <w:t>making an overall assessment of the patient;</w:t>
      </w:r>
    </w:p>
    <w:p w:rsidR="005A7FD7" w:rsidRPr="005A7FD7" w:rsidRDefault="005A7FD7" w:rsidP="00752807">
      <w:pPr>
        <w:pStyle w:val="Bullets"/>
      </w:pPr>
      <w:r w:rsidRPr="005A7FD7">
        <w:t>recommending appropriate interventions;</w:t>
      </w:r>
    </w:p>
    <w:p w:rsidR="005A7FD7" w:rsidRPr="005A7FD7" w:rsidRDefault="005A7FD7" w:rsidP="00752807">
      <w:pPr>
        <w:pStyle w:val="Bullets"/>
      </w:pPr>
      <w:r w:rsidRPr="005A7FD7">
        <w:t>providing advice and information to the patient;</w:t>
      </w:r>
    </w:p>
    <w:p w:rsidR="005A7FD7" w:rsidRPr="005A7FD7" w:rsidRDefault="005A7FD7" w:rsidP="00752807">
      <w:pPr>
        <w:pStyle w:val="Bullets"/>
      </w:pPr>
      <w:r w:rsidRPr="005A7FD7">
        <w:t>keeping a record of the health assessment, and offering the patient a written report about the health assessment, with recommendations about matters covered by the health assessment; and</w:t>
      </w:r>
    </w:p>
    <w:p w:rsidR="005A7FD7" w:rsidRPr="005A7FD7" w:rsidRDefault="005A7FD7" w:rsidP="00752807">
      <w:pPr>
        <w:pStyle w:val="Bullets"/>
      </w:pPr>
      <w:r w:rsidRPr="005A7FD7">
        <w:t>offering the patient’s carer (if any, and if the GP considers it appropriate and the patient agrees) a copy of the report or extracts of the report relevant to the carer.</w:t>
      </w:r>
    </w:p>
    <w:p w:rsidR="005A7FD7" w:rsidRPr="005A7FD7" w:rsidRDefault="005A7FD7" w:rsidP="005A7FD7">
      <w:pPr>
        <w:rPr>
          <w:lang w:val="en-US"/>
        </w:rPr>
      </w:pPr>
      <w:r w:rsidRPr="005A7FD7">
        <w:t xml:space="preserve">Practice nurses and Aboriginal and Torres Strait Islander health practitioners may assist GPs in performing a health assessment, in accordance with accepted medical practice and under the supervision of the GP. </w:t>
      </w:r>
      <w:r w:rsidR="00F33669">
        <w:t xml:space="preserve"> </w:t>
      </w:r>
      <w:r w:rsidRPr="005A7FD7">
        <w:t>This may include activities associated with:</w:t>
      </w:r>
    </w:p>
    <w:p w:rsidR="005A7FD7" w:rsidRPr="005A7FD7" w:rsidRDefault="005A7FD7" w:rsidP="00752807">
      <w:pPr>
        <w:pStyle w:val="Bullets"/>
      </w:pPr>
      <w:r w:rsidRPr="005A7FD7">
        <w:t>information collection, including gathering of patient information for the medical practitioner and the taking and recording of routine measurements; and</w:t>
      </w:r>
    </w:p>
    <w:p w:rsidR="005A7FD7" w:rsidRPr="005A7FD7" w:rsidRDefault="005A7FD7" w:rsidP="00752807">
      <w:pPr>
        <w:pStyle w:val="Bullets"/>
      </w:pPr>
      <w:r w:rsidRPr="005A7FD7">
        <w:t>providing patients with information about recommended interventions at the direction of the GP.</w:t>
      </w:r>
    </w:p>
    <w:p w:rsidR="005A7FD7" w:rsidRPr="005A7FD7" w:rsidRDefault="005A7FD7" w:rsidP="005A7FD7">
      <w:r w:rsidRPr="005A7FD7">
        <w:t>All other components of the health assessment must include personal attendance by the GP.</w:t>
      </w:r>
    </w:p>
    <w:p w:rsidR="005A7FD7" w:rsidRPr="005A7FD7" w:rsidRDefault="005A7FD7" w:rsidP="005A7FD7">
      <w:r w:rsidRPr="005A7FD7">
        <w:t>The time needed to undertake the aspects above of the health assessment by the practice nurse or Aboriginal and Torres Strait Islander health practitioner may be added to the time taken by the GP to complete the assessment.</w:t>
      </w:r>
    </w:p>
    <w:p w:rsidR="005A7FD7" w:rsidRPr="005A7FD7" w:rsidRDefault="005A7FD7" w:rsidP="005A7FD7">
      <w:r w:rsidRPr="005A7FD7">
        <w:t>It is important to note that the GP must have appropriate involvement and overall responsibility for the service, with the practice nurse or Aboriginal and Torres Strait Islander health practitioner assisting in accordance with accepted medical practice.</w:t>
      </w:r>
    </w:p>
    <w:p w:rsidR="005A7FD7" w:rsidRPr="005A7FD7" w:rsidRDefault="005A7FD7" w:rsidP="005A7FD7">
      <w:pPr>
        <w:rPr>
          <w:lang w:val="en" w:eastAsia="en-AU"/>
        </w:rPr>
      </w:pPr>
      <w:r w:rsidRPr="005A7FD7">
        <w:rPr>
          <w:lang w:val="en" w:eastAsia="en-AU"/>
        </w:rPr>
        <w:t xml:space="preserve">However, the time spent by the GP and </w:t>
      </w:r>
      <w:r w:rsidRPr="005A7FD7">
        <w:t xml:space="preserve">the practice nurse or Aboriginal and Torres Strait Islander health practitioner in undertaking the health assessment </w:t>
      </w:r>
      <w:r w:rsidRPr="005A7FD7">
        <w:rPr>
          <w:lang w:val="en" w:eastAsia="en-AU"/>
        </w:rPr>
        <w:t xml:space="preserve">is only one consideration in determining the most appropriate Medicare health assessment item to use.  In deciding which item is most appropriate, the GP should consider the time spent with the patient, the level of complexity of the patient’s presentation and health needs and any assistance provided by a practice nurse or </w:t>
      </w:r>
      <w:r w:rsidRPr="005A7FD7">
        <w:t>Aboriginal and Torres Strait Islander health practitioner</w:t>
      </w:r>
      <w:r w:rsidRPr="005A7FD7">
        <w:rPr>
          <w:lang w:val="en" w:eastAsia="en-AU"/>
        </w:rPr>
        <w:t>.</w:t>
      </w:r>
    </w:p>
    <w:p w:rsidR="005A7FD7" w:rsidRPr="005A7FD7" w:rsidRDefault="005A7FD7" w:rsidP="005A7FD7">
      <w:pPr>
        <w:rPr>
          <w:lang w:val="en-US"/>
        </w:rPr>
      </w:pPr>
      <w:r w:rsidRPr="005A7FD7">
        <w:t xml:space="preserve">The specific requirements of the health assessments are set out in the </w:t>
      </w:r>
      <w:r w:rsidRPr="00F33669">
        <w:rPr>
          <w:rStyle w:val="Emphasis"/>
        </w:rPr>
        <w:t>Health Insurance (General Medical Services Table) Regulation 2014</w:t>
      </w:r>
      <w:r w:rsidRPr="005A7FD7">
        <w:t xml:space="preserve">, which is available on-line at </w:t>
      </w:r>
      <w:hyperlink r:id="rId9" w:history="1">
        <w:r w:rsidR="002A7270" w:rsidRPr="002A7270">
          <w:rPr>
            <w:rStyle w:val="Hyperlink"/>
          </w:rPr>
          <w:t>ComLaw</w:t>
        </w:r>
      </w:hyperlink>
      <w:r w:rsidRPr="005A7FD7">
        <w:t xml:space="preserve">.  The item descriptors and explanatory notes for the items are available at </w:t>
      </w:r>
      <w:hyperlink r:id="rId10" w:history="1">
        <w:r w:rsidR="002A7270" w:rsidRPr="002A7270">
          <w:rPr>
            <w:rStyle w:val="Hyperlink"/>
          </w:rPr>
          <w:t>MBS Online</w:t>
        </w:r>
      </w:hyperlink>
      <w:r w:rsidR="00F33669">
        <w:t>.</w:t>
      </w:r>
      <w:r w:rsidRPr="005A7FD7">
        <w:t xml:space="preserve">  Medical practitioners undertaking the health assessments should familiarise themselves with the requirements set out in these documents.</w:t>
      </w:r>
    </w:p>
    <w:p w:rsidR="00752807" w:rsidRDefault="00752807" w:rsidP="00743091">
      <w:pPr>
        <w:pStyle w:val="Footnote"/>
      </w:pPr>
    </w:p>
    <w:p w:rsidR="006D0E0F" w:rsidRDefault="00B16F94" w:rsidP="00743091">
      <w:pPr>
        <w:pStyle w:val="Footnote"/>
      </w:pPr>
      <w:r w:rsidRPr="00990076">
        <w:t xml:space="preserve">Last updated: </w:t>
      </w:r>
      <w:r w:rsidR="00752807">
        <w:t>26/08/2014</w:t>
      </w:r>
    </w:p>
    <w:sectPr w:rsidR="006D0E0F" w:rsidSect="00A563E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856" w:right="1440" w:bottom="1134" w:left="1440"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C10" w:rsidRDefault="00931C10" w:rsidP="00743091">
      <w:r>
        <w:separator/>
      </w:r>
    </w:p>
    <w:p w:rsidR="00931C10" w:rsidRDefault="00931C10" w:rsidP="00743091"/>
    <w:p w:rsidR="00931C10" w:rsidRDefault="00931C10" w:rsidP="00743091"/>
  </w:endnote>
  <w:endnote w:type="continuationSeparator" w:id="0">
    <w:p w:rsidR="00931C10" w:rsidRDefault="00931C10" w:rsidP="00743091">
      <w:r>
        <w:continuationSeparator/>
      </w:r>
    </w:p>
    <w:p w:rsidR="00931C10" w:rsidRDefault="00931C10" w:rsidP="00743091"/>
    <w:p w:rsidR="00931C10" w:rsidRDefault="00931C10" w:rsidP="00743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6" w:rsidRDefault="00990076" w:rsidP="00743091"/>
  <w:p w:rsidR="00A87435" w:rsidRDefault="00A87435" w:rsidP="007430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0B" w:rsidRPr="00A563EC" w:rsidRDefault="00A563EC" w:rsidP="00743091">
    <w:pPr>
      <w:pStyle w:val="Footnote"/>
      <w:pBdr>
        <w:top w:val="single" w:sz="12" w:space="1" w:color="117254"/>
      </w:pBdr>
      <w:tabs>
        <w:tab w:val="right" w:pos="9026"/>
      </w:tabs>
    </w:pPr>
    <w:r w:rsidRPr="00475405">
      <w:rPr>
        <w:rStyle w:val="Strong"/>
        <w:b w:val="0"/>
      </w:rPr>
      <w:t>Medicare Benefits Schedule</w:t>
    </w:r>
    <w:r>
      <w:rPr>
        <w:rStyle w:val="Strong"/>
      </w:rPr>
      <w:t xml:space="preserve"> </w:t>
    </w:r>
    <w:r w:rsidR="00475405">
      <w:rPr>
        <w:rStyle w:val="Strong"/>
      </w:rPr>
      <w:br/>
    </w:r>
    <w:r w:rsidR="00475405" w:rsidRPr="00475405">
      <w:rPr>
        <w:rStyle w:val="Strong"/>
      </w:rPr>
      <w:t>Fact Sheet</w:t>
    </w:r>
    <w:r w:rsidR="00743091">
      <w:rPr>
        <w:rStyle w:val="Strong"/>
      </w:rPr>
      <w:t xml:space="preserve">: </w:t>
    </w:r>
    <w:r w:rsidR="00743091" w:rsidRPr="00743091">
      <w:rPr>
        <w:rStyle w:val="Strong"/>
        <w:b w:val="0"/>
      </w:rPr>
      <w:fldChar w:fldCharType="begin"/>
    </w:r>
    <w:r w:rsidR="00743091" w:rsidRPr="00743091">
      <w:rPr>
        <w:rStyle w:val="Strong"/>
        <w:b w:val="0"/>
      </w:rPr>
      <w:instrText xml:space="preserve"> REF _Ref394501517 </w:instrText>
    </w:r>
    <w:r w:rsidR="00743091">
      <w:rPr>
        <w:rStyle w:val="Strong"/>
        <w:b w:val="0"/>
      </w:rPr>
      <w:instrText xml:space="preserve"> \* MERGEFORMAT </w:instrText>
    </w:r>
    <w:r w:rsidR="00743091" w:rsidRPr="00743091">
      <w:rPr>
        <w:rStyle w:val="Strong"/>
        <w:b w:val="0"/>
      </w:rPr>
      <w:fldChar w:fldCharType="separate"/>
    </w:r>
    <w:r w:rsidR="009458AF" w:rsidRPr="009458AF">
      <w:rPr>
        <w:b/>
      </w:rPr>
      <w:t xml:space="preserve">Medicare Health Assessments </w:t>
    </w:r>
    <w:r w:rsidR="009458AF" w:rsidRPr="009458AF">
      <w:rPr>
        <w:b/>
      </w:rPr>
      <w:br/>
      <w:t>(MBS Items 701-707 and 715)</w:t>
    </w:r>
    <w:r w:rsidR="00743091" w:rsidRPr="00743091">
      <w:rPr>
        <w:rStyle w:val="Strong"/>
        <w:b w:val="0"/>
      </w:rPr>
      <w:fldChar w:fldCharType="end"/>
    </w:r>
    <w:r w:rsidRPr="00A563EC">
      <w:tab/>
    </w:r>
    <w:r w:rsidR="00690C0B" w:rsidRPr="00A563EC">
      <w:t xml:space="preserve">Page </w:t>
    </w:r>
    <w:r w:rsidR="00690C0B" w:rsidRPr="00A563EC">
      <w:fldChar w:fldCharType="begin"/>
    </w:r>
    <w:r w:rsidR="00690C0B" w:rsidRPr="00A563EC">
      <w:instrText xml:space="preserve"> PAGE  \* Arabic  \* MERGEFORMAT </w:instrText>
    </w:r>
    <w:r w:rsidR="00690C0B" w:rsidRPr="00A563EC">
      <w:fldChar w:fldCharType="separate"/>
    </w:r>
    <w:r w:rsidR="007A4327">
      <w:rPr>
        <w:noProof/>
      </w:rPr>
      <w:t>1</w:t>
    </w:r>
    <w:r w:rsidR="00690C0B" w:rsidRPr="00A563EC">
      <w:fldChar w:fldCharType="end"/>
    </w:r>
    <w:r w:rsidR="00690C0B" w:rsidRPr="00A563EC">
      <w:t xml:space="preserve"> of </w:t>
    </w:r>
    <w:fldSimple w:instr=" NUMPAGES  \* Arabic  \* MERGEFORMAT ">
      <w:r w:rsidR="007A4327">
        <w:rPr>
          <w:noProof/>
        </w:rPr>
        <w:t>1</w:t>
      </w:r>
    </w:fldSimple>
    <w:r w:rsidR="00475405">
      <w:br/>
    </w:r>
    <w:hyperlink r:id="rId1" w:history="1">
      <w:r w:rsidR="006F4D33" w:rsidRPr="006F4D33">
        <w:rPr>
          <w:rStyle w:val="Hyperlink"/>
        </w:rPr>
        <w:t>MBS</w:t>
      </w:r>
      <w:r w:rsidR="002A7270">
        <w:rPr>
          <w:rStyle w:val="Hyperlink"/>
        </w:rPr>
        <w:t xml:space="preserve"> </w:t>
      </w:r>
      <w:r w:rsidR="006F4D33" w:rsidRPr="006F4D33">
        <w:rPr>
          <w:rStyle w:val="Hyperlink"/>
        </w:rPr>
        <w:t>Online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2C" w:rsidRDefault="0091062C">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C10" w:rsidRDefault="00931C10" w:rsidP="00743091">
      <w:r>
        <w:separator/>
      </w:r>
    </w:p>
    <w:p w:rsidR="00931C10" w:rsidRDefault="00931C10" w:rsidP="00743091"/>
    <w:p w:rsidR="00931C10" w:rsidRDefault="00931C10" w:rsidP="00743091"/>
  </w:footnote>
  <w:footnote w:type="continuationSeparator" w:id="0">
    <w:p w:rsidR="00931C10" w:rsidRDefault="00931C10" w:rsidP="00743091">
      <w:r>
        <w:continuationSeparator/>
      </w:r>
    </w:p>
    <w:p w:rsidR="00931C10" w:rsidRDefault="00931C10" w:rsidP="00743091"/>
    <w:p w:rsidR="00931C10" w:rsidRDefault="00931C10" w:rsidP="007430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6" w:rsidRDefault="00990076" w:rsidP="00743091"/>
  <w:p w:rsidR="00A87435" w:rsidRDefault="00A87435" w:rsidP="007430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EC" w:rsidRDefault="00A563EC" w:rsidP="00743091"/>
  <w:p w:rsidR="00A87435" w:rsidRDefault="007A4327" w:rsidP="00743091">
    <w:pPr>
      <w:pBdr>
        <w:bottom w:val="single" w:sz="12" w:space="12" w:color="117254"/>
      </w:pBdr>
    </w:pPr>
    <w:r>
      <w:rPr>
        <w:noProof/>
        <w:lang w:eastAsia="en-AU"/>
      </w:rPr>
      <w:drawing>
        <wp:inline distT="0" distB="0" distL="0" distR="0">
          <wp:extent cx="2499360" cy="601980"/>
          <wp:effectExtent l="0" t="0" r="0" b="0"/>
          <wp:docPr id="2" name="Picture 1" descr="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Departmen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360" cy="6019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2C" w:rsidRDefault="0091062C">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8AC1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2D65B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CF2C6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4BC4B9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4982F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6CA5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580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DAFE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E0D7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6729782"/>
    <w:lvl w:ilvl="0">
      <w:start w:val="1"/>
      <w:numFmt w:val="bullet"/>
      <w:lvlText w:val=""/>
      <w:lvlJc w:val="left"/>
      <w:pPr>
        <w:tabs>
          <w:tab w:val="num" w:pos="360"/>
        </w:tabs>
        <w:ind w:left="360" w:hanging="360"/>
      </w:pPr>
      <w:rPr>
        <w:rFonts w:ascii="Symbol" w:hAnsi="Symbol" w:hint="default"/>
      </w:rPr>
    </w:lvl>
  </w:abstractNum>
  <w:abstractNum w:abstractNumId="10">
    <w:nsid w:val="0C8209E6"/>
    <w:multiLevelType w:val="hybridMultilevel"/>
    <w:tmpl w:val="CCDA650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187856AA"/>
    <w:multiLevelType w:val="hybridMultilevel"/>
    <w:tmpl w:val="E450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B776D16"/>
    <w:multiLevelType w:val="hybridMultilevel"/>
    <w:tmpl w:val="8D509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E695A3F"/>
    <w:multiLevelType w:val="hybridMultilevel"/>
    <w:tmpl w:val="D6062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4C2DE9"/>
    <w:multiLevelType w:val="hybridMultilevel"/>
    <w:tmpl w:val="DA3024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42D6567B"/>
    <w:multiLevelType w:val="hybridMultilevel"/>
    <w:tmpl w:val="F620B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12E7314"/>
    <w:multiLevelType w:val="hybridMultilevel"/>
    <w:tmpl w:val="1E620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8DE322A"/>
    <w:multiLevelType w:val="hybridMultilevel"/>
    <w:tmpl w:val="F856BDE2"/>
    <w:lvl w:ilvl="0" w:tplc="2578BC9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E3E5B32"/>
    <w:multiLevelType w:val="hybridMultilevel"/>
    <w:tmpl w:val="B72A392C"/>
    <w:lvl w:ilvl="0" w:tplc="D6227D62">
      <w:start w:val="1"/>
      <w:numFmt w:val="decimal"/>
      <w:pStyle w:val="NumberedList"/>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14"/>
  </w:num>
  <w:num w:numId="5">
    <w:abstractNumId w:val="17"/>
  </w:num>
  <w:num w:numId="6">
    <w:abstractNumId w:val="18"/>
  </w:num>
  <w:num w:numId="7">
    <w:abstractNumId w:val="16"/>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styleLockTheme/>
  <w:styleLockQFSet/>
  <w:defaultTabStop w:val="720"/>
  <w:defaultTableStyle w:val="MBSOnlineTable"/>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0B"/>
    <w:rsid w:val="00004E74"/>
    <w:rsid w:val="00052C0E"/>
    <w:rsid w:val="00056E36"/>
    <w:rsid w:val="00073FB4"/>
    <w:rsid w:val="000A6119"/>
    <w:rsid w:val="001531AF"/>
    <w:rsid w:val="00185CA9"/>
    <w:rsid w:val="00192CF5"/>
    <w:rsid w:val="001A38D2"/>
    <w:rsid w:val="001B6841"/>
    <w:rsid w:val="001C0470"/>
    <w:rsid w:val="001C612D"/>
    <w:rsid w:val="001D71E7"/>
    <w:rsid w:val="0021311A"/>
    <w:rsid w:val="00223D7B"/>
    <w:rsid w:val="00227A2F"/>
    <w:rsid w:val="00233471"/>
    <w:rsid w:val="00263B75"/>
    <w:rsid w:val="00274A34"/>
    <w:rsid w:val="00280DDE"/>
    <w:rsid w:val="00293ABC"/>
    <w:rsid w:val="002A6EE1"/>
    <w:rsid w:val="002A7270"/>
    <w:rsid w:val="002C63D9"/>
    <w:rsid w:val="0030083D"/>
    <w:rsid w:val="0031142C"/>
    <w:rsid w:val="00376693"/>
    <w:rsid w:val="00376C22"/>
    <w:rsid w:val="003A56D6"/>
    <w:rsid w:val="003C029B"/>
    <w:rsid w:val="003C56C9"/>
    <w:rsid w:val="003E604B"/>
    <w:rsid w:val="00404FAE"/>
    <w:rsid w:val="00423096"/>
    <w:rsid w:val="00427C32"/>
    <w:rsid w:val="00427F62"/>
    <w:rsid w:val="00442D6A"/>
    <w:rsid w:val="00457276"/>
    <w:rsid w:val="00475405"/>
    <w:rsid w:val="004A71BD"/>
    <w:rsid w:val="004B2C82"/>
    <w:rsid w:val="004E59A6"/>
    <w:rsid w:val="00531875"/>
    <w:rsid w:val="0056062D"/>
    <w:rsid w:val="00563A66"/>
    <w:rsid w:val="00575480"/>
    <w:rsid w:val="005A7FD7"/>
    <w:rsid w:val="005C6819"/>
    <w:rsid w:val="005D21B1"/>
    <w:rsid w:val="0060482F"/>
    <w:rsid w:val="0061439C"/>
    <w:rsid w:val="00617870"/>
    <w:rsid w:val="00631E45"/>
    <w:rsid w:val="006365E8"/>
    <w:rsid w:val="00674C43"/>
    <w:rsid w:val="006753DE"/>
    <w:rsid w:val="00690C0B"/>
    <w:rsid w:val="006A387F"/>
    <w:rsid w:val="006C6AF3"/>
    <w:rsid w:val="006D0E0F"/>
    <w:rsid w:val="006F4D33"/>
    <w:rsid w:val="00706F8F"/>
    <w:rsid w:val="00722CB4"/>
    <w:rsid w:val="00727D33"/>
    <w:rsid w:val="007313AE"/>
    <w:rsid w:val="00743091"/>
    <w:rsid w:val="00752807"/>
    <w:rsid w:val="00772786"/>
    <w:rsid w:val="007760E1"/>
    <w:rsid w:val="00782C31"/>
    <w:rsid w:val="007A4327"/>
    <w:rsid w:val="007D1963"/>
    <w:rsid w:val="007F4E20"/>
    <w:rsid w:val="00844130"/>
    <w:rsid w:val="00845F79"/>
    <w:rsid w:val="008778DF"/>
    <w:rsid w:val="008F42A2"/>
    <w:rsid w:val="008F76CC"/>
    <w:rsid w:val="0091062C"/>
    <w:rsid w:val="00913043"/>
    <w:rsid w:val="00914E38"/>
    <w:rsid w:val="00931C10"/>
    <w:rsid w:val="00945371"/>
    <w:rsid w:val="009458AF"/>
    <w:rsid w:val="009556B0"/>
    <w:rsid w:val="00977A67"/>
    <w:rsid w:val="00984C27"/>
    <w:rsid w:val="00990076"/>
    <w:rsid w:val="009D2417"/>
    <w:rsid w:val="00A07C59"/>
    <w:rsid w:val="00A15DD9"/>
    <w:rsid w:val="00A37CC5"/>
    <w:rsid w:val="00A55D34"/>
    <w:rsid w:val="00A563EC"/>
    <w:rsid w:val="00A77F50"/>
    <w:rsid w:val="00A87435"/>
    <w:rsid w:val="00A94CC2"/>
    <w:rsid w:val="00AB3BC0"/>
    <w:rsid w:val="00AE05A9"/>
    <w:rsid w:val="00B01954"/>
    <w:rsid w:val="00B12EFD"/>
    <w:rsid w:val="00B16F94"/>
    <w:rsid w:val="00B569FB"/>
    <w:rsid w:val="00B90C49"/>
    <w:rsid w:val="00BD2196"/>
    <w:rsid w:val="00BF72A1"/>
    <w:rsid w:val="00BF7993"/>
    <w:rsid w:val="00C27BD7"/>
    <w:rsid w:val="00C31C4E"/>
    <w:rsid w:val="00C5040C"/>
    <w:rsid w:val="00C6461E"/>
    <w:rsid w:val="00C90304"/>
    <w:rsid w:val="00C9290F"/>
    <w:rsid w:val="00C97A78"/>
    <w:rsid w:val="00CB316D"/>
    <w:rsid w:val="00CD08D1"/>
    <w:rsid w:val="00CD5592"/>
    <w:rsid w:val="00CE0021"/>
    <w:rsid w:val="00CE137A"/>
    <w:rsid w:val="00CE1CCC"/>
    <w:rsid w:val="00CE4611"/>
    <w:rsid w:val="00CF28D9"/>
    <w:rsid w:val="00CF7021"/>
    <w:rsid w:val="00D00836"/>
    <w:rsid w:val="00D14460"/>
    <w:rsid w:val="00D53359"/>
    <w:rsid w:val="00D55A40"/>
    <w:rsid w:val="00D97CF0"/>
    <w:rsid w:val="00DA4463"/>
    <w:rsid w:val="00DA7B04"/>
    <w:rsid w:val="00DB6CEE"/>
    <w:rsid w:val="00DC34AF"/>
    <w:rsid w:val="00DC6936"/>
    <w:rsid w:val="00DD7657"/>
    <w:rsid w:val="00DF0E3C"/>
    <w:rsid w:val="00E139B7"/>
    <w:rsid w:val="00E152E4"/>
    <w:rsid w:val="00E209C5"/>
    <w:rsid w:val="00E42F6A"/>
    <w:rsid w:val="00E43A41"/>
    <w:rsid w:val="00E54CD1"/>
    <w:rsid w:val="00E85579"/>
    <w:rsid w:val="00EA5DB4"/>
    <w:rsid w:val="00F33669"/>
    <w:rsid w:val="00F3600A"/>
    <w:rsid w:val="00F64317"/>
    <w:rsid w:val="00F706DE"/>
    <w:rsid w:val="00F760F5"/>
    <w:rsid w:val="00F971C6"/>
    <w:rsid w:val="00FB1701"/>
    <w:rsid w:val="00FB260E"/>
    <w:rsid w:val="00FE7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rFonts w:cs="Times New Roman"/>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0C0B"/>
    <w:rPr>
      <w:rFonts w:ascii="Arial" w:eastAsiaTheme="majorEastAsia" w:hAnsi="Arial" w:cs="Arial"/>
      <w:b/>
      <w:bCs/>
      <w:sz w:val="32"/>
      <w:szCs w:val="32"/>
    </w:rPr>
  </w:style>
  <w:style w:type="character" w:customStyle="1" w:styleId="Heading2Char">
    <w:name w:val="Heading 2 Char"/>
    <w:basedOn w:val="DefaultParagraphFont"/>
    <w:link w:val="Heading2"/>
    <w:uiPriority w:val="9"/>
    <w:locked/>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locked/>
    <w:rsid w:val="00743091"/>
    <w:rPr>
      <w:rFonts w:ascii="Arial" w:eastAsiaTheme="majorEastAsia" w:hAnsi="Arial" w:cs="Arial"/>
      <w:bCs/>
      <w:color w:val="117254"/>
      <w:sz w:val="28"/>
      <w:szCs w:val="28"/>
    </w:rPr>
  </w:style>
  <w:style w:type="character" w:customStyle="1" w:styleId="Heading4Char">
    <w:name w:val="Heading 4 Char"/>
    <w:basedOn w:val="DefaultParagraphFont"/>
    <w:link w:val="Heading4"/>
    <w:uiPriority w:val="9"/>
    <w:locked/>
    <w:rsid w:val="00743091"/>
    <w:rPr>
      <w:rFonts w:eastAsiaTheme="majorEastAsia" w:cs="Arial"/>
      <w:b/>
      <w:bCs/>
      <w:iCs/>
    </w:rPr>
  </w:style>
  <w:style w:type="character" w:customStyle="1" w:styleId="Heading5Char">
    <w:name w:val="Heading 5 Char"/>
    <w:basedOn w:val="DefaultParagraphFont"/>
    <w:link w:val="Heading5"/>
    <w:uiPriority w:val="9"/>
    <w:locked/>
    <w:rsid w:val="00690C0B"/>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locked/>
    <w:rsid w:val="00690C0B"/>
    <w:rPr>
      <w:rFonts w:asciiTheme="majorHAnsi" w:eastAsiaTheme="majorEastAsia" w:hAnsiTheme="majorHAnsi" w:cs="Times New Roman"/>
      <w:i/>
      <w:iCs/>
      <w:color w:val="243F60" w:themeColor="accent1" w:themeShade="7F"/>
    </w:rPr>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locked/>
    <w:rsid w:val="00690C0B"/>
    <w:rPr>
      <w:rFonts w:cs="Times New Roman"/>
    </w:rPr>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locked/>
    <w:rsid w:val="00690C0B"/>
    <w:rPr>
      <w:rFonts w:cs="Times New Roman"/>
    </w:rPr>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90C0B"/>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locked/>
    <w:rsid w:val="00690C0B"/>
    <w:rPr>
      <w:rFonts w:asciiTheme="majorHAnsi" w:eastAsiaTheme="majorEastAsia" w:hAnsiTheme="majorHAnsi" w:cs="Times New Roman"/>
      <w:i/>
      <w:iCs/>
      <w:color w:val="4F81BD" w:themeColor="accent1"/>
      <w:spacing w:val="15"/>
      <w:sz w:val="24"/>
      <w:szCs w:val="24"/>
    </w:rPr>
  </w:style>
  <w:style w:type="character" w:styleId="PlaceholderText">
    <w:name w:val="Placeholder Text"/>
    <w:basedOn w:val="DefaultParagraphFont"/>
    <w:uiPriority w:val="99"/>
    <w:semiHidden/>
    <w:locked/>
    <w:rsid w:val="00690C0B"/>
    <w:rPr>
      <w:rFonts w:cs="Times New Roman"/>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C0B"/>
    <w:rPr>
      <w:rFonts w:ascii="Tahoma" w:hAnsi="Tahoma" w:cs="Tahoma"/>
      <w:sz w:val="16"/>
      <w:szCs w:val="16"/>
    </w:rPr>
  </w:style>
  <w:style w:type="paragraph" w:styleId="ListParagraph">
    <w:name w:val="List Paragraph"/>
    <w:basedOn w:val="Normal"/>
    <w:link w:val="ListParagraphChar"/>
    <w:uiPriority w:val="34"/>
    <w:qFormat/>
    <w:locked/>
    <w:rsid w:val="00690C0B"/>
    <w:pPr>
      <w:ind w:left="720"/>
      <w:contextualSpacing/>
    </w:p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locked/>
    <w:rsid w:val="00690C0B"/>
    <w:rPr>
      <w:rFonts w:ascii="Arial" w:hAnsi="Arial" w:cs="Times New Roman"/>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locked/>
    <w:rsid w:val="00743091"/>
    <w:rPr>
      <w:rFonts w:cs="Times New Roman"/>
    </w:rPr>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locked/>
    <w:rsid w:val="00990076"/>
    <w:rPr>
      <w:rFonts w:cs="Times New Roman"/>
    </w:rPr>
  </w:style>
  <w:style w:type="character" w:customStyle="1" w:styleId="BulletsChar">
    <w:name w:val="Bullets Char"/>
    <w:basedOn w:val="ListParagraphChar"/>
    <w:link w:val="Bullets"/>
    <w:uiPriority w:val="14"/>
    <w:locked/>
    <w:rsid w:val="00CD5592"/>
    <w:rPr>
      <w:rFonts w:ascii="Arial" w:hAnsi="Arial" w:cs="Times New Roman"/>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locked/>
    <w:rsid w:val="00CD5592"/>
    <w:rPr>
      <w:rFonts w:ascii="Arial" w:hAnsi="Arial" w:cs="Times New Roman"/>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rFonts w:cs="Times New Roman"/>
      <w:b/>
      <w:bCs/>
    </w:rPr>
  </w:style>
  <w:style w:type="table" w:customStyle="1" w:styleId="MBSOnlineTable">
    <w:name w:val="MBSOnlineTable"/>
    <w:basedOn w:val="TableNormal"/>
    <w:uiPriority w:val="99"/>
    <w:rsid w:val="0060482F"/>
    <w:pPr>
      <w:spacing w:before="0" w:after="0"/>
      <w:contextualSpacing/>
      <w:jc w:val="right"/>
    </w:pPr>
    <w:rPr>
      <w:rFonts w:cs="Times New Roman"/>
    </w:rPr>
    <w:tblPr>
      <w:tblBorders>
        <w:top w:val="single" w:sz="4" w:space="0" w:color="117254"/>
        <w:bottom w:val="single" w:sz="4" w:space="0" w:color="117254"/>
        <w:insideH w:val="single" w:sz="4" w:space="0" w:color="117254"/>
      </w:tblBorders>
    </w:tblPr>
    <w:trPr>
      <w:cantSplit/>
    </w:trPr>
    <w:tblStylePr w:type="firstRow">
      <w:pPr>
        <w:spacing w:beforeLines="0" w:before="100" w:beforeAutospacing="1" w:afterLines="0" w:after="100" w:afterAutospacing="1"/>
        <w:contextualSpacing/>
        <w:jc w:val="right"/>
      </w:pPr>
      <w:rPr>
        <w:rFonts w:ascii="Arial" w:hAnsi="Arial" w:cs="Times New Roman"/>
        <w:b/>
        <w:sz w:val="24"/>
      </w:rPr>
      <w:tblPr/>
      <w:trPr>
        <w:tblHeader/>
      </w:trPr>
      <w:tcPr>
        <w:shd w:val="clear" w:color="auto" w:fill="C4EECC"/>
      </w:tcPr>
    </w:tblStylePr>
    <w:tblStylePr w:type="firstCol">
      <w:pPr>
        <w:jc w:val="left"/>
      </w:pPr>
      <w:rPr>
        <w:rFonts w:cs="Times New Roman"/>
      </w:rPr>
    </w:tblStylePr>
    <w:tblStylePr w:type="nwCell">
      <w:pPr>
        <w:jc w:val="left"/>
      </w:pPr>
      <w:rPr>
        <w:rFonts w:cs="Times New Roman"/>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cs="Times New Roman"/>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rFonts w:cs="Times New Roman"/>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locked/>
    <w:rsid w:val="00914E38"/>
    <w:rPr>
      <w:rFonts w:cs="Times New Roman"/>
      <w:sz w:val="22"/>
    </w:rPr>
  </w:style>
  <w:style w:type="character" w:styleId="Emphasis">
    <w:name w:val="Emphasis"/>
    <w:basedOn w:val="DefaultParagraphFont"/>
    <w:uiPriority w:val="19"/>
    <w:qFormat/>
    <w:rsid w:val="001A38D2"/>
    <w:rPr>
      <w:rFonts w:cs="Times New Roman"/>
      <w:i/>
      <w:iCs/>
    </w:rPr>
  </w:style>
  <w:style w:type="character" w:customStyle="1" w:styleId="TblCentreChar">
    <w:name w:val="Tbl Centre Char"/>
    <w:basedOn w:val="DefaultParagraphFont"/>
    <w:link w:val="TblCentre"/>
    <w:uiPriority w:val="21"/>
    <w:locked/>
    <w:rsid w:val="00914E38"/>
    <w:rPr>
      <w:rFonts w:cs="Times New Roman"/>
      <w:sz w:val="22"/>
    </w:rPr>
  </w:style>
  <w:style w:type="character" w:customStyle="1" w:styleId="TblRightChar">
    <w:name w:val="Tbl Right Char"/>
    <w:basedOn w:val="DefaultParagraphFont"/>
    <w:link w:val="TblRight"/>
    <w:uiPriority w:val="21"/>
    <w:locked/>
    <w:rsid w:val="00914E38"/>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rFonts w:cs="Times New Roman"/>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0C0B"/>
    <w:rPr>
      <w:rFonts w:ascii="Arial" w:eastAsiaTheme="majorEastAsia" w:hAnsi="Arial" w:cs="Arial"/>
      <w:b/>
      <w:bCs/>
      <w:sz w:val="32"/>
      <w:szCs w:val="32"/>
    </w:rPr>
  </w:style>
  <w:style w:type="character" w:customStyle="1" w:styleId="Heading2Char">
    <w:name w:val="Heading 2 Char"/>
    <w:basedOn w:val="DefaultParagraphFont"/>
    <w:link w:val="Heading2"/>
    <w:uiPriority w:val="9"/>
    <w:locked/>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locked/>
    <w:rsid w:val="00743091"/>
    <w:rPr>
      <w:rFonts w:ascii="Arial" w:eastAsiaTheme="majorEastAsia" w:hAnsi="Arial" w:cs="Arial"/>
      <w:bCs/>
      <w:color w:val="117254"/>
      <w:sz w:val="28"/>
      <w:szCs w:val="28"/>
    </w:rPr>
  </w:style>
  <w:style w:type="character" w:customStyle="1" w:styleId="Heading4Char">
    <w:name w:val="Heading 4 Char"/>
    <w:basedOn w:val="DefaultParagraphFont"/>
    <w:link w:val="Heading4"/>
    <w:uiPriority w:val="9"/>
    <w:locked/>
    <w:rsid w:val="00743091"/>
    <w:rPr>
      <w:rFonts w:eastAsiaTheme="majorEastAsia" w:cs="Arial"/>
      <w:b/>
      <w:bCs/>
      <w:iCs/>
    </w:rPr>
  </w:style>
  <w:style w:type="character" w:customStyle="1" w:styleId="Heading5Char">
    <w:name w:val="Heading 5 Char"/>
    <w:basedOn w:val="DefaultParagraphFont"/>
    <w:link w:val="Heading5"/>
    <w:uiPriority w:val="9"/>
    <w:locked/>
    <w:rsid w:val="00690C0B"/>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locked/>
    <w:rsid w:val="00690C0B"/>
    <w:rPr>
      <w:rFonts w:asciiTheme="majorHAnsi" w:eastAsiaTheme="majorEastAsia" w:hAnsiTheme="majorHAnsi" w:cs="Times New Roman"/>
      <w:i/>
      <w:iCs/>
      <w:color w:val="243F60" w:themeColor="accent1" w:themeShade="7F"/>
    </w:rPr>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locked/>
    <w:rsid w:val="00690C0B"/>
    <w:rPr>
      <w:rFonts w:cs="Times New Roman"/>
    </w:rPr>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locked/>
    <w:rsid w:val="00690C0B"/>
    <w:rPr>
      <w:rFonts w:cs="Times New Roman"/>
    </w:rPr>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90C0B"/>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locked/>
    <w:rsid w:val="00690C0B"/>
    <w:rPr>
      <w:rFonts w:asciiTheme="majorHAnsi" w:eastAsiaTheme="majorEastAsia" w:hAnsiTheme="majorHAnsi" w:cs="Times New Roman"/>
      <w:i/>
      <w:iCs/>
      <w:color w:val="4F81BD" w:themeColor="accent1"/>
      <w:spacing w:val="15"/>
      <w:sz w:val="24"/>
      <w:szCs w:val="24"/>
    </w:rPr>
  </w:style>
  <w:style w:type="character" w:styleId="PlaceholderText">
    <w:name w:val="Placeholder Text"/>
    <w:basedOn w:val="DefaultParagraphFont"/>
    <w:uiPriority w:val="99"/>
    <w:semiHidden/>
    <w:locked/>
    <w:rsid w:val="00690C0B"/>
    <w:rPr>
      <w:rFonts w:cs="Times New Roman"/>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C0B"/>
    <w:rPr>
      <w:rFonts w:ascii="Tahoma" w:hAnsi="Tahoma" w:cs="Tahoma"/>
      <w:sz w:val="16"/>
      <w:szCs w:val="16"/>
    </w:rPr>
  </w:style>
  <w:style w:type="paragraph" w:styleId="ListParagraph">
    <w:name w:val="List Paragraph"/>
    <w:basedOn w:val="Normal"/>
    <w:link w:val="ListParagraphChar"/>
    <w:uiPriority w:val="34"/>
    <w:qFormat/>
    <w:locked/>
    <w:rsid w:val="00690C0B"/>
    <w:pPr>
      <w:ind w:left="720"/>
      <w:contextualSpacing/>
    </w:p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locked/>
    <w:rsid w:val="00690C0B"/>
    <w:rPr>
      <w:rFonts w:ascii="Arial" w:hAnsi="Arial" w:cs="Times New Roman"/>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locked/>
    <w:rsid w:val="00743091"/>
    <w:rPr>
      <w:rFonts w:cs="Times New Roman"/>
    </w:rPr>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locked/>
    <w:rsid w:val="00990076"/>
    <w:rPr>
      <w:rFonts w:cs="Times New Roman"/>
    </w:rPr>
  </w:style>
  <w:style w:type="character" w:customStyle="1" w:styleId="BulletsChar">
    <w:name w:val="Bullets Char"/>
    <w:basedOn w:val="ListParagraphChar"/>
    <w:link w:val="Bullets"/>
    <w:uiPriority w:val="14"/>
    <w:locked/>
    <w:rsid w:val="00CD5592"/>
    <w:rPr>
      <w:rFonts w:ascii="Arial" w:hAnsi="Arial" w:cs="Times New Roman"/>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locked/>
    <w:rsid w:val="00CD5592"/>
    <w:rPr>
      <w:rFonts w:ascii="Arial" w:hAnsi="Arial" w:cs="Times New Roman"/>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rFonts w:cs="Times New Roman"/>
      <w:b/>
      <w:bCs/>
    </w:rPr>
  </w:style>
  <w:style w:type="table" w:customStyle="1" w:styleId="MBSOnlineTable">
    <w:name w:val="MBSOnlineTable"/>
    <w:basedOn w:val="TableNormal"/>
    <w:uiPriority w:val="99"/>
    <w:rsid w:val="0060482F"/>
    <w:pPr>
      <w:spacing w:before="0" w:after="0"/>
      <w:contextualSpacing/>
      <w:jc w:val="right"/>
    </w:pPr>
    <w:rPr>
      <w:rFonts w:cs="Times New Roman"/>
    </w:rPr>
    <w:tblPr>
      <w:tblBorders>
        <w:top w:val="single" w:sz="4" w:space="0" w:color="117254"/>
        <w:bottom w:val="single" w:sz="4" w:space="0" w:color="117254"/>
        <w:insideH w:val="single" w:sz="4" w:space="0" w:color="117254"/>
      </w:tblBorders>
    </w:tblPr>
    <w:trPr>
      <w:cantSplit/>
    </w:trPr>
    <w:tblStylePr w:type="firstRow">
      <w:pPr>
        <w:spacing w:beforeLines="0" w:before="100" w:beforeAutospacing="1" w:afterLines="0" w:after="100" w:afterAutospacing="1"/>
        <w:contextualSpacing/>
        <w:jc w:val="right"/>
      </w:pPr>
      <w:rPr>
        <w:rFonts w:ascii="Arial" w:hAnsi="Arial" w:cs="Times New Roman"/>
        <w:b/>
        <w:sz w:val="24"/>
      </w:rPr>
      <w:tblPr/>
      <w:trPr>
        <w:tblHeader/>
      </w:trPr>
      <w:tcPr>
        <w:shd w:val="clear" w:color="auto" w:fill="C4EECC"/>
      </w:tcPr>
    </w:tblStylePr>
    <w:tblStylePr w:type="firstCol">
      <w:pPr>
        <w:jc w:val="left"/>
      </w:pPr>
      <w:rPr>
        <w:rFonts w:cs="Times New Roman"/>
      </w:rPr>
    </w:tblStylePr>
    <w:tblStylePr w:type="nwCell">
      <w:pPr>
        <w:jc w:val="left"/>
      </w:pPr>
      <w:rPr>
        <w:rFonts w:cs="Times New Roman"/>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cs="Times New Roman"/>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rFonts w:cs="Times New Roman"/>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locked/>
    <w:rsid w:val="00914E38"/>
    <w:rPr>
      <w:rFonts w:cs="Times New Roman"/>
      <w:sz w:val="22"/>
    </w:rPr>
  </w:style>
  <w:style w:type="character" w:styleId="Emphasis">
    <w:name w:val="Emphasis"/>
    <w:basedOn w:val="DefaultParagraphFont"/>
    <w:uiPriority w:val="19"/>
    <w:qFormat/>
    <w:rsid w:val="001A38D2"/>
    <w:rPr>
      <w:rFonts w:cs="Times New Roman"/>
      <w:i/>
      <w:iCs/>
    </w:rPr>
  </w:style>
  <w:style w:type="character" w:customStyle="1" w:styleId="TblCentreChar">
    <w:name w:val="Tbl Centre Char"/>
    <w:basedOn w:val="DefaultParagraphFont"/>
    <w:link w:val="TblCentre"/>
    <w:uiPriority w:val="21"/>
    <w:locked/>
    <w:rsid w:val="00914E38"/>
    <w:rPr>
      <w:rFonts w:cs="Times New Roman"/>
      <w:sz w:val="22"/>
    </w:rPr>
  </w:style>
  <w:style w:type="character" w:customStyle="1" w:styleId="TblRightChar">
    <w:name w:val="Tbl Right Char"/>
    <w:basedOn w:val="DefaultParagraphFont"/>
    <w:link w:val="TblRight"/>
    <w:uiPriority w:val="21"/>
    <w:locked/>
    <w:rsid w:val="00914E38"/>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861952">
      <w:marLeft w:val="0"/>
      <w:marRight w:val="0"/>
      <w:marTop w:val="0"/>
      <w:marBottom w:val="0"/>
      <w:divBdr>
        <w:top w:val="none" w:sz="0" w:space="0" w:color="auto"/>
        <w:left w:val="none" w:sz="0" w:space="0" w:color="auto"/>
        <w:bottom w:val="none" w:sz="0" w:space="0" w:color="auto"/>
        <w:right w:val="none" w:sz="0" w:space="0" w:color="auto"/>
      </w:divBdr>
    </w:div>
    <w:div w:id="1955861954">
      <w:marLeft w:val="0"/>
      <w:marRight w:val="0"/>
      <w:marTop w:val="0"/>
      <w:marBottom w:val="0"/>
      <w:divBdr>
        <w:top w:val="none" w:sz="0" w:space="0" w:color="auto"/>
        <w:left w:val="none" w:sz="0" w:space="0" w:color="auto"/>
        <w:bottom w:val="none" w:sz="0" w:space="0" w:color="auto"/>
        <w:right w:val="none" w:sz="0" w:space="0" w:color="auto"/>
      </w:divBdr>
      <w:divsChild>
        <w:div w:id="1955861947">
          <w:marLeft w:val="0"/>
          <w:marRight w:val="0"/>
          <w:marTop w:val="240"/>
          <w:marBottom w:val="0"/>
          <w:divBdr>
            <w:top w:val="none" w:sz="0" w:space="0" w:color="auto"/>
            <w:left w:val="none" w:sz="0" w:space="0" w:color="auto"/>
            <w:bottom w:val="none" w:sz="0" w:space="0" w:color="auto"/>
            <w:right w:val="none" w:sz="0" w:space="0" w:color="auto"/>
          </w:divBdr>
          <w:divsChild>
            <w:div w:id="1955861950">
              <w:marLeft w:val="0"/>
              <w:marRight w:val="0"/>
              <w:marTop w:val="0"/>
              <w:marBottom w:val="0"/>
              <w:divBdr>
                <w:top w:val="none" w:sz="0" w:space="0" w:color="auto"/>
                <w:left w:val="none" w:sz="0" w:space="0" w:color="auto"/>
                <w:bottom w:val="none" w:sz="0" w:space="0" w:color="auto"/>
                <w:right w:val="none" w:sz="0" w:space="0" w:color="auto"/>
              </w:divBdr>
              <w:divsChild>
                <w:div w:id="1955861953">
                  <w:marLeft w:val="0"/>
                  <w:marRight w:val="0"/>
                  <w:marTop w:val="0"/>
                  <w:marBottom w:val="0"/>
                  <w:divBdr>
                    <w:top w:val="none" w:sz="0" w:space="0" w:color="auto"/>
                    <w:left w:val="none" w:sz="0" w:space="0" w:color="auto"/>
                    <w:bottom w:val="none" w:sz="0" w:space="0" w:color="auto"/>
                    <w:right w:val="none" w:sz="0" w:space="0" w:color="auto"/>
                  </w:divBdr>
                  <w:divsChild>
                    <w:div w:id="1955861949">
                      <w:marLeft w:val="0"/>
                      <w:marRight w:val="0"/>
                      <w:marTop w:val="0"/>
                      <w:marBottom w:val="0"/>
                      <w:divBdr>
                        <w:top w:val="none" w:sz="0" w:space="0" w:color="auto"/>
                        <w:left w:val="none" w:sz="0" w:space="0" w:color="auto"/>
                        <w:bottom w:val="none" w:sz="0" w:space="0" w:color="auto"/>
                        <w:right w:val="none" w:sz="0" w:space="0" w:color="auto"/>
                      </w:divBdr>
                      <w:divsChild>
                        <w:div w:id="1955861951">
                          <w:marLeft w:val="0"/>
                          <w:marRight w:val="0"/>
                          <w:marTop w:val="0"/>
                          <w:marBottom w:val="0"/>
                          <w:divBdr>
                            <w:top w:val="none" w:sz="0" w:space="0" w:color="auto"/>
                            <w:left w:val="none" w:sz="0" w:space="0" w:color="auto"/>
                            <w:bottom w:val="none" w:sz="0" w:space="0" w:color="auto"/>
                            <w:right w:val="none" w:sz="0" w:space="0" w:color="auto"/>
                          </w:divBdr>
                          <w:divsChild>
                            <w:div w:id="1955861946">
                              <w:marLeft w:val="0"/>
                              <w:marRight w:val="0"/>
                              <w:marTop w:val="0"/>
                              <w:marBottom w:val="0"/>
                              <w:divBdr>
                                <w:top w:val="none" w:sz="0" w:space="0" w:color="auto"/>
                                <w:left w:val="none" w:sz="0" w:space="0" w:color="auto"/>
                                <w:bottom w:val="none" w:sz="0" w:space="0" w:color="auto"/>
                                <w:right w:val="none" w:sz="0" w:space="0" w:color="auto"/>
                              </w:divBdr>
                              <w:divsChild>
                                <w:div w:id="195586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bsonline.gov.au/" TargetMode="External"/><Relationship Id="rId4" Type="http://schemas.microsoft.com/office/2007/relationships/stylesWithEffects" Target="stylesWithEffects.xml"/><Relationship Id="rId9" Type="http://schemas.openxmlformats.org/officeDocument/2006/relationships/hyperlink" Target="http://www.comlaw.gov.au/Hom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96883EF-A19F-488D-B0F3-7A95BF136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Crawford</dc:creator>
  <cp:lastModifiedBy>MAGPANTAY, Cynthia</cp:lastModifiedBy>
  <cp:revision>2</cp:revision>
  <cp:lastPrinted>2014-08-27T00:32:00Z</cp:lastPrinted>
  <dcterms:created xsi:type="dcterms:W3CDTF">2017-07-28T00:14:00Z</dcterms:created>
  <dcterms:modified xsi:type="dcterms:W3CDTF">2017-07-28T00:14:00Z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