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7446" w:rsidRDefault="00FB13BF" w:rsidP="001F78FF">
      <w:pPr>
        <w:pStyle w:val="Heading1"/>
        <w:spacing w:before="0"/>
      </w:pPr>
      <w:bookmarkStart w:id="0" w:name="_Ref394501517"/>
      <w:bookmarkStart w:id="1" w:name="_GoBack"/>
      <w:bookmarkEnd w:id="1"/>
      <w:r>
        <w:t>Determining lesion size for MBS item selection</w:t>
      </w:r>
      <w:bookmarkEnd w:id="0"/>
    </w:p>
    <w:p w:rsidR="000B7446" w:rsidRDefault="000B7446" w:rsidP="000B7446">
      <w:pPr>
        <w:pStyle w:val="Footnote"/>
      </w:pPr>
      <w:r w:rsidRPr="00990076">
        <w:t xml:space="preserve">Last updated: </w:t>
      </w:r>
      <w:r w:rsidR="001275FA">
        <w:t>1</w:t>
      </w:r>
      <w:r w:rsidR="00895BD1">
        <w:t>5</w:t>
      </w:r>
      <w:r w:rsidR="001275FA">
        <w:t>/06/2017</w:t>
      </w:r>
    </w:p>
    <w:p w:rsidR="00FB13BF" w:rsidRPr="001F78FF" w:rsidRDefault="00FB13BF" w:rsidP="00FB13BF">
      <w:pPr>
        <w:pStyle w:val="NormalWeb"/>
        <w:shd w:val="clear" w:color="auto" w:fill="FFFFFF"/>
        <w:spacing w:before="60" w:beforeAutospacing="0" w:after="240" w:afterAutospacing="0" w:line="357" w:lineRule="atLeast"/>
        <w:rPr>
          <w:rFonts w:ascii="Verdana" w:hAnsi="Verdana"/>
          <w:color w:val="333333"/>
          <w:sz w:val="22"/>
        </w:rPr>
      </w:pPr>
      <w:r w:rsidRPr="001F78FF">
        <w:rPr>
          <w:rFonts w:ascii="Verdana" w:hAnsi="Verdana"/>
          <w:color w:val="333333"/>
          <w:sz w:val="22"/>
        </w:rPr>
        <w:t>The necessary excision diameter (or defect size) refers to the lesion size plus a clinically appropriate margin of healthy tissue required with the intent of complete surgical excision. Measurements should be taken prior to excision. Margin size should be determined in line with NHMRC guidelines: </w:t>
      </w:r>
      <w:r w:rsidRPr="001F78FF">
        <w:rPr>
          <w:rStyle w:val="apple-converted-space"/>
          <w:rFonts w:ascii="Verdana" w:hAnsi="Verdana"/>
          <w:color w:val="333333"/>
          <w:sz w:val="22"/>
        </w:rPr>
        <w:t> </w:t>
      </w:r>
      <w:r w:rsidRPr="001F78FF">
        <w:rPr>
          <w:rStyle w:val="Emphasis"/>
          <w:rFonts w:ascii="Verdana" w:hAnsi="Verdana"/>
          <w:color w:val="333333"/>
          <w:sz w:val="22"/>
        </w:rPr>
        <w:t>Clinical practice guide - Basal cell carcinoma, squamous cell carcinoma (and related lesions)-a guide to clinical management in Australia. November 2008. Cancer Council Australia;</w:t>
      </w:r>
      <w:r w:rsidRPr="001F78FF">
        <w:rPr>
          <w:rStyle w:val="apple-converted-space"/>
          <w:rFonts w:ascii="Verdana" w:hAnsi="Verdana"/>
          <w:i/>
          <w:iCs/>
          <w:color w:val="333333"/>
          <w:sz w:val="22"/>
        </w:rPr>
        <w:t> </w:t>
      </w:r>
      <w:r w:rsidRPr="001F78FF">
        <w:rPr>
          <w:rFonts w:ascii="Verdana" w:hAnsi="Verdana"/>
          <w:color w:val="333333"/>
          <w:sz w:val="22"/>
        </w:rPr>
        <w:t>and</w:t>
      </w:r>
      <w:r w:rsidRPr="001F78FF">
        <w:rPr>
          <w:rStyle w:val="apple-converted-space"/>
          <w:rFonts w:ascii="Verdana" w:hAnsi="Verdana"/>
          <w:color w:val="333333"/>
          <w:sz w:val="22"/>
        </w:rPr>
        <w:t> </w:t>
      </w:r>
      <w:r w:rsidRPr="001F78FF">
        <w:rPr>
          <w:rStyle w:val="Emphasis"/>
          <w:rFonts w:ascii="Verdana" w:hAnsi="Verdana"/>
          <w:color w:val="333333"/>
          <w:sz w:val="22"/>
        </w:rPr>
        <w:t>Clinical Practice Guidelines for the Management of Melanoma in Australia and New Zealand (2008).</w:t>
      </w:r>
    </w:p>
    <w:p w:rsidR="00FB13BF" w:rsidRDefault="00251233" w:rsidP="00FB13BF">
      <w:pPr>
        <w:pStyle w:val="NormalWeb"/>
        <w:shd w:val="clear" w:color="auto" w:fill="FFFFFF"/>
        <w:spacing w:before="60" w:beforeAutospacing="0" w:after="240" w:afterAutospacing="0" w:line="357" w:lineRule="atLeast"/>
        <w:rPr>
          <w:rFonts w:ascii="Verdana" w:hAnsi="Verdana"/>
          <w:color w:val="333333"/>
        </w:rPr>
      </w:pPr>
      <w:r>
        <w:rPr>
          <w:rFonts w:ascii="Verdana" w:hAnsi="Verdana"/>
          <w:noProof/>
          <w:color w:val="333333"/>
        </w:rPr>
        <w:drawing>
          <wp:inline distT="0" distB="0" distL="0" distR="0">
            <wp:extent cx="3048000" cy="2308860"/>
            <wp:effectExtent l="0" t="0" r="0" b="0"/>
            <wp:docPr id="3" name="Picture 2" descr="For the purpose of Items 31356 to 31376 the defect size is calculated by the average of the width and the length of the skin lesion and an appropriate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the purpose of Items 31356 to 31376 the defect size is calculated by the average of the width and the length of the skin lesion and an appropriate marg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308860"/>
                    </a:xfrm>
                    <a:prstGeom prst="rect">
                      <a:avLst/>
                    </a:prstGeom>
                    <a:noFill/>
                    <a:ln>
                      <a:noFill/>
                    </a:ln>
                  </pic:spPr>
                </pic:pic>
              </a:graphicData>
            </a:graphic>
          </wp:inline>
        </w:drawing>
      </w:r>
    </w:p>
    <w:p w:rsidR="001F78FF" w:rsidRPr="001F78FF" w:rsidRDefault="00FB13BF" w:rsidP="00FB13BF">
      <w:pPr>
        <w:pStyle w:val="NormalWeb"/>
        <w:shd w:val="clear" w:color="auto" w:fill="FFFFFF"/>
        <w:spacing w:before="60" w:beforeAutospacing="0" w:after="240" w:afterAutospacing="0" w:line="357" w:lineRule="atLeast"/>
        <w:rPr>
          <w:rFonts w:ascii="Verdana" w:hAnsi="Verdana"/>
          <w:color w:val="333333"/>
          <w:sz w:val="22"/>
        </w:rPr>
      </w:pPr>
      <w:r w:rsidRPr="001F78FF">
        <w:rPr>
          <w:rFonts w:ascii="Verdana" w:hAnsi="Verdana"/>
          <w:color w:val="333333"/>
          <w:sz w:val="22"/>
        </w:rPr>
        <w:t>For the purpose of Items 31356 to 31376 the defect size is calculated by the average of the width and the length of the skin lesion and an appropriate margin. Therefore the necessary excision diameter is calculated as follows:</w:t>
      </w:r>
    </w:p>
    <w:p w:rsidR="001F78FF" w:rsidRPr="001F78FF" w:rsidRDefault="00251233" w:rsidP="00FB13BF">
      <w:pPr>
        <w:pStyle w:val="NormalWeb"/>
        <w:shd w:val="clear" w:color="auto" w:fill="FFFFFF"/>
        <w:spacing w:before="60" w:beforeAutospacing="0" w:after="240" w:afterAutospacing="0" w:line="357" w:lineRule="atLeast"/>
        <w:rPr>
          <w:rFonts w:ascii="Verdana" w:hAnsi="Verdana"/>
          <w:color w:val="333333"/>
          <w:sz w:val="22"/>
        </w:rPr>
      </w:pPr>
      <w:r>
        <w:rPr>
          <w:rFonts w:ascii="Verdana" w:hAnsi="Verdana"/>
          <w:noProof/>
          <w:color w:val="333333"/>
          <w:sz w:val="22"/>
        </w:rPr>
        <w:drawing>
          <wp:inline distT="0" distB="0" distL="0" distR="0">
            <wp:extent cx="3680460" cy="350520"/>
            <wp:effectExtent l="0" t="0" r="0" b="0"/>
            <wp:docPr id="4" name="Picture 4" descr="\\central.health\dfsuserenv\Users\User_04\sartol\Desktop\skin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health\dfsuserenv\Users\User_04\sartol\Desktop\skinformul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0460" cy="350520"/>
                    </a:xfrm>
                    <a:prstGeom prst="rect">
                      <a:avLst/>
                    </a:prstGeom>
                    <a:noFill/>
                    <a:ln>
                      <a:noFill/>
                    </a:ln>
                  </pic:spPr>
                </pic:pic>
              </a:graphicData>
            </a:graphic>
          </wp:inline>
        </w:drawing>
      </w:r>
    </w:p>
    <w:p w:rsidR="00FB13BF" w:rsidRPr="001F78FF" w:rsidRDefault="00FB13BF" w:rsidP="00FB13BF">
      <w:pPr>
        <w:pStyle w:val="NormalWeb"/>
        <w:shd w:val="clear" w:color="auto" w:fill="FFFFFF"/>
        <w:spacing w:before="60" w:beforeAutospacing="0" w:after="240" w:afterAutospacing="0" w:line="357" w:lineRule="atLeast"/>
        <w:rPr>
          <w:rFonts w:ascii="Verdana" w:hAnsi="Verdana"/>
          <w:color w:val="333333"/>
          <w:sz w:val="22"/>
        </w:rPr>
      </w:pPr>
      <w:r w:rsidRPr="001F78FF">
        <w:rPr>
          <w:rFonts w:ascii="Verdana" w:hAnsi="Verdana"/>
          <w:color w:val="333333"/>
          <w:sz w:val="22"/>
        </w:rPr>
        <w:t>Practitioners must retain copies of histological reports and any other supporting evidence (patient notes, photographs etc). Photographs should include scale.</w:t>
      </w:r>
    </w:p>
    <w:p w:rsidR="00FB13BF" w:rsidRPr="001F78FF" w:rsidRDefault="00FB13BF" w:rsidP="00FB13BF">
      <w:pPr>
        <w:pStyle w:val="NormalWeb"/>
        <w:shd w:val="clear" w:color="auto" w:fill="FFFFFF"/>
        <w:spacing w:before="60" w:beforeAutospacing="0" w:after="240" w:afterAutospacing="0" w:line="357" w:lineRule="atLeast"/>
        <w:rPr>
          <w:rFonts w:ascii="Verdana" w:hAnsi="Verdana"/>
          <w:color w:val="333333"/>
          <w:sz w:val="22"/>
        </w:rPr>
      </w:pPr>
      <w:r w:rsidRPr="001F78FF">
        <w:rPr>
          <w:rFonts w:ascii="Verdana" w:hAnsi="Verdana"/>
          <w:color w:val="333333"/>
          <w:sz w:val="22"/>
        </w:rPr>
        <w:t>An episode of care includes both the excision and closure for the same defect, even when excision and closure occur at separate attendances.</w:t>
      </w:r>
    </w:p>
    <w:p w:rsidR="001C612D" w:rsidRPr="001F78FF" w:rsidRDefault="00FB13BF" w:rsidP="001F78FF">
      <w:pPr>
        <w:pStyle w:val="NormalWeb"/>
        <w:shd w:val="clear" w:color="auto" w:fill="FFFFFF"/>
        <w:spacing w:before="60" w:beforeAutospacing="0" w:after="240" w:afterAutospacing="0" w:line="357" w:lineRule="atLeast"/>
        <w:rPr>
          <w:rFonts w:ascii="Verdana" w:hAnsi="Verdana"/>
          <w:color w:val="333333"/>
          <w:sz w:val="22"/>
        </w:rPr>
      </w:pPr>
      <w:r w:rsidRPr="001F78FF">
        <w:rPr>
          <w:rFonts w:ascii="Verdana" w:hAnsi="Verdana"/>
          <w:color w:val="333333"/>
          <w:sz w:val="22"/>
        </w:rPr>
        <w:t>An incomplete surgical excision of a malignant skin lesion with curative intent should be billed as a malignant skin lesion excision item even when further surgery is needed.</w:t>
      </w:r>
    </w:p>
    <w:sectPr w:rsidR="001C612D" w:rsidRPr="001F78FF" w:rsidSect="00A563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FE" w:rsidRDefault="005319FE" w:rsidP="00743091">
      <w:r>
        <w:separator/>
      </w:r>
    </w:p>
    <w:p w:rsidR="005319FE" w:rsidRDefault="005319FE" w:rsidP="00743091"/>
    <w:p w:rsidR="005319FE" w:rsidRDefault="005319FE" w:rsidP="00743091"/>
  </w:endnote>
  <w:endnote w:type="continuationSeparator" w:id="0">
    <w:p w:rsidR="005319FE" w:rsidRDefault="005319FE" w:rsidP="00743091">
      <w:r>
        <w:continuationSeparator/>
      </w:r>
    </w:p>
    <w:p w:rsidR="005319FE" w:rsidRDefault="005319FE" w:rsidP="00743091"/>
    <w:p w:rsidR="005319FE" w:rsidRDefault="005319FE"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A563EC"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sidR="00475405">
      <w:rPr>
        <w:rStyle w:val="Strong"/>
      </w:rPr>
      <w:br/>
    </w:r>
    <w:r w:rsidR="00475405" w:rsidRPr="00475405">
      <w:rPr>
        <w:rStyle w:val="Strong"/>
      </w:rPr>
      <w:t>Fact Sheet</w:t>
    </w:r>
    <w:r w:rsidR="00743091">
      <w:rPr>
        <w:rStyle w:val="Strong"/>
      </w:rPr>
      <w:t xml:space="preserve">: </w:t>
    </w:r>
    <w:r w:rsidR="00743091" w:rsidRPr="00743091">
      <w:rPr>
        <w:rStyle w:val="Strong"/>
        <w:b w:val="0"/>
      </w:rPr>
      <w:fldChar w:fldCharType="begin"/>
    </w:r>
    <w:r w:rsidR="00743091" w:rsidRPr="00743091">
      <w:rPr>
        <w:rStyle w:val="Strong"/>
        <w:b w:val="0"/>
      </w:rPr>
      <w:instrText xml:space="preserve"> REF _Ref394501517 </w:instrText>
    </w:r>
    <w:r w:rsidR="00743091">
      <w:rPr>
        <w:rStyle w:val="Strong"/>
        <w:b w:val="0"/>
      </w:rPr>
      <w:instrText xml:space="preserve"> \* MERGEFORMAT </w:instrText>
    </w:r>
    <w:r w:rsidR="00743091" w:rsidRPr="00743091">
      <w:rPr>
        <w:rStyle w:val="Strong"/>
        <w:b w:val="0"/>
      </w:rPr>
      <w:fldChar w:fldCharType="separate"/>
    </w:r>
    <w:r w:rsidR="001F78FF">
      <w:rPr>
        <w:b/>
      </w:rPr>
      <w:t>Determining lesion size for MBS item selection</w:t>
    </w:r>
    <w:r w:rsidR="00743091" w:rsidRPr="00743091">
      <w:rPr>
        <w:rStyle w:val="Strong"/>
        <w:b w:val="0"/>
      </w:rPr>
      <w:fldChar w:fldCharType="end"/>
    </w:r>
    <w:r w:rsidRPr="00A563EC">
      <w:tab/>
    </w:r>
    <w:r w:rsidR="00690C0B" w:rsidRPr="00A563EC">
      <w:t xml:space="preserve">Page </w:t>
    </w:r>
    <w:r w:rsidR="00690C0B" w:rsidRPr="00A563EC">
      <w:fldChar w:fldCharType="begin"/>
    </w:r>
    <w:r w:rsidR="00690C0B" w:rsidRPr="00A563EC">
      <w:instrText xml:space="preserve"> PAGE  \* Arabic  \* MERGEFORMAT </w:instrText>
    </w:r>
    <w:r w:rsidR="00690C0B" w:rsidRPr="00A563EC">
      <w:fldChar w:fldCharType="separate"/>
    </w:r>
    <w:r w:rsidR="00251233">
      <w:rPr>
        <w:noProof/>
      </w:rPr>
      <w:t>1</w:t>
    </w:r>
    <w:r w:rsidR="00690C0B" w:rsidRPr="00A563EC">
      <w:fldChar w:fldCharType="end"/>
    </w:r>
    <w:r w:rsidR="00690C0B" w:rsidRPr="00A563EC">
      <w:t xml:space="preserve"> of </w:t>
    </w:r>
    <w:fldSimple w:instr=" NUMPAGES  \* Arabic  \* MERGEFORMAT ">
      <w:r w:rsidR="00251233">
        <w:rPr>
          <w:noProof/>
        </w:rPr>
        <w:t>1</w:t>
      </w:r>
    </w:fldSimple>
    <w:r w:rsidR="00475405">
      <w:br/>
    </w:r>
    <w:hyperlink r:id="rId1" w:history="1">
      <w:r w:rsidR="006F4D33"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FE" w:rsidRDefault="005319FE" w:rsidP="00743091">
      <w:r>
        <w:separator/>
      </w:r>
    </w:p>
    <w:p w:rsidR="005319FE" w:rsidRDefault="005319FE" w:rsidP="00743091"/>
    <w:p w:rsidR="005319FE" w:rsidRDefault="005319FE" w:rsidP="00743091"/>
  </w:footnote>
  <w:footnote w:type="continuationSeparator" w:id="0">
    <w:p w:rsidR="005319FE" w:rsidRDefault="005319FE" w:rsidP="00743091">
      <w:r>
        <w:continuationSeparator/>
      </w:r>
    </w:p>
    <w:p w:rsidR="005319FE" w:rsidRDefault="005319FE" w:rsidP="00743091"/>
    <w:p w:rsidR="005319FE" w:rsidRDefault="005319FE"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990076" w:rsidP="00743091"/>
  <w:p w:rsidR="00A87435" w:rsidRDefault="00A8743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A563EC" w:rsidP="00743091"/>
  <w:p w:rsidR="00A87435" w:rsidRDefault="00251233" w:rsidP="00743091">
    <w:pPr>
      <w:pBdr>
        <w:bottom w:val="single" w:sz="12" w:space="12" w:color="117254"/>
      </w:pBdr>
    </w:pPr>
    <w:r>
      <w:rPr>
        <w:noProof/>
        <w:lang w:eastAsia="en-AU"/>
      </w:rPr>
      <w:drawing>
        <wp:inline distT="0" distB="0" distL="0" distR="0">
          <wp:extent cx="2545080" cy="601980"/>
          <wp:effectExtent l="0" t="0" r="0" b="0"/>
          <wp:docPr id="2"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6019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91062C">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3"/>
  </w:num>
  <w:num w:numId="5">
    <w:abstractNumId w:val="15"/>
  </w:num>
  <w:num w:numId="6">
    <w:abstractNumId w:val="16"/>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defaultTableStyle w:val="MBSOnlineTable"/>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076F2"/>
    <w:rsid w:val="00052C0E"/>
    <w:rsid w:val="00053242"/>
    <w:rsid w:val="00056E36"/>
    <w:rsid w:val="00073FB4"/>
    <w:rsid w:val="000A6119"/>
    <w:rsid w:val="000B7446"/>
    <w:rsid w:val="001275FA"/>
    <w:rsid w:val="00137462"/>
    <w:rsid w:val="00185CA9"/>
    <w:rsid w:val="00192CF5"/>
    <w:rsid w:val="001960A9"/>
    <w:rsid w:val="001A38D2"/>
    <w:rsid w:val="001B6841"/>
    <w:rsid w:val="001C0470"/>
    <w:rsid w:val="001C612D"/>
    <w:rsid w:val="001D71E7"/>
    <w:rsid w:val="001F78FF"/>
    <w:rsid w:val="0021311A"/>
    <w:rsid w:val="00223D7B"/>
    <w:rsid w:val="00227A2F"/>
    <w:rsid w:val="00233471"/>
    <w:rsid w:val="00251233"/>
    <w:rsid w:val="00274A34"/>
    <w:rsid w:val="00280DDE"/>
    <w:rsid w:val="00293ABC"/>
    <w:rsid w:val="002A6EE1"/>
    <w:rsid w:val="002C63D9"/>
    <w:rsid w:val="002E47F4"/>
    <w:rsid w:val="0030083D"/>
    <w:rsid w:val="0031142C"/>
    <w:rsid w:val="0035159D"/>
    <w:rsid w:val="0036091C"/>
    <w:rsid w:val="00376693"/>
    <w:rsid w:val="00376C22"/>
    <w:rsid w:val="00391AF0"/>
    <w:rsid w:val="003A56D6"/>
    <w:rsid w:val="003C029B"/>
    <w:rsid w:val="003C56C9"/>
    <w:rsid w:val="003E604B"/>
    <w:rsid w:val="00423096"/>
    <w:rsid w:val="00427F62"/>
    <w:rsid w:val="00442D6A"/>
    <w:rsid w:val="00457276"/>
    <w:rsid w:val="00475405"/>
    <w:rsid w:val="004A71BD"/>
    <w:rsid w:val="004B2C82"/>
    <w:rsid w:val="004E06A6"/>
    <w:rsid w:val="004E59A6"/>
    <w:rsid w:val="005319FE"/>
    <w:rsid w:val="00563A66"/>
    <w:rsid w:val="00575480"/>
    <w:rsid w:val="005A42F2"/>
    <w:rsid w:val="005C6819"/>
    <w:rsid w:val="005D21B1"/>
    <w:rsid w:val="005F4666"/>
    <w:rsid w:val="0060482F"/>
    <w:rsid w:val="0061439C"/>
    <w:rsid w:val="00617870"/>
    <w:rsid w:val="00631E45"/>
    <w:rsid w:val="0065264D"/>
    <w:rsid w:val="00674C43"/>
    <w:rsid w:val="006753DE"/>
    <w:rsid w:val="00690C0B"/>
    <w:rsid w:val="006A387F"/>
    <w:rsid w:val="006C6AF3"/>
    <w:rsid w:val="006D0E0F"/>
    <w:rsid w:val="006F4D33"/>
    <w:rsid w:val="00706F8F"/>
    <w:rsid w:val="00722CB4"/>
    <w:rsid w:val="00727D33"/>
    <w:rsid w:val="007313AE"/>
    <w:rsid w:val="00743091"/>
    <w:rsid w:val="00772786"/>
    <w:rsid w:val="007760E1"/>
    <w:rsid w:val="00782C31"/>
    <w:rsid w:val="007D1963"/>
    <w:rsid w:val="007F4E20"/>
    <w:rsid w:val="008014B1"/>
    <w:rsid w:val="00844130"/>
    <w:rsid w:val="00845F79"/>
    <w:rsid w:val="008778DF"/>
    <w:rsid w:val="008958D9"/>
    <w:rsid w:val="00895BD1"/>
    <w:rsid w:val="008F42A2"/>
    <w:rsid w:val="008F76CC"/>
    <w:rsid w:val="0091062C"/>
    <w:rsid w:val="00914E38"/>
    <w:rsid w:val="00945371"/>
    <w:rsid w:val="009556B0"/>
    <w:rsid w:val="00977A67"/>
    <w:rsid w:val="00984C27"/>
    <w:rsid w:val="00990076"/>
    <w:rsid w:val="00A02A89"/>
    <w:rsid w:val="00A07C59"/>
    <w:rsid w:val="00A15DD9"/>
    <w:rsid w:val="00A30C5B"/>
    <w:rsid w:val="00A37CC5"/>
    <w:rsid w:val="00A52F7E"/>
    <w:rsid w:val="00A55D34"/>
    <w:rsid w:val="00A563EC"/>
    <w:rsid w:val="00A77F50"/>
    <w:rsid w:val="00A87435"/>
    <w:rsid w:val="00A94CC2"/>
    <w:rsid w:val="00AB3BC0"/>
    <w:rsid w:val="00AE05A9"/>
    <w:rsid w:val="00B12EFD"/>
    <w:rsid w:val="00B16F94"/>
    <w:rsid w:val="00B569FB"/>
    <w:rsid w:val="00B90C49"/>
    <w:rsid w:val="00BD2196"/>
    <w:rsid w:val="00BD7A5C"/>
    <w:rsid w:val="00BE77B4"/>
    <w:rsid w:val="00BF72A1"/>
    <w:rsid w:val="00BF7993"/>
    <w:rsid w:val="00C27BD7"/>
    <w:rsid w:val="00C31C4E"/>
    <w:rsid w:val="00C5040C"/>
    <w:rsid w:val="00C6461E"/>
    <w:rsid w:val="00C90304"/>
    <w:rsid w:val="00C9290F"/>
    <w:rsid w:val="00C97A78"/>
    <w:rsid w:val="00CB316D"/>
    <w:rsid w:val="00CD08D1"/>
    <w:rsid w:val="00CD5592"/>
    <w:rsid w:val="00CE0021"/>
    <w:rsid w:val="00CE137A"/>
    <w:rsid w:val="00CE1CCC"/>
    <w:rsid w:val="00CE4611"/>
    <w:rsid w:val="00CF28D9"/>
    <w:rsid w:val="00CF7021"/>
    <w:rsid w:val="00D00836"/>
    <w:rsid w:val="00D14460"/>
    <w:rsid w:val="00D53359"/>
    <w:rsid w:val="00DA4463"/>
    <w:rsid w:val="00DA7B04"/>
    <w:rsid w:val="00DC6936"/>
    <w:rsid w:val="00DD3F84"/>
    <w:rsid w:val="00DD7657"/>
    <w:rsid w:val="00DF0E3C"/>
    <w:rsid w:val="00E06A4E"/>
    <w:rsid w:val="00E139B7"/>
    <w:rsid w:val="00E152E4"/>
    <w:rsid w:val="00E209C5"/>
    <w:rsid w:val="00E37AC8"/>
    <w:rsid w:val="00E42F6A"/>
    <w:rsid w:val="00E43A41"/>
    <w:rsid w:val="00E54CD1"/>
    <w:rsid w:val="00E85579"/>
    <w:rsid w:val="00EA5DB4"/>
    <w:rsid w:val="00F3600A"/>
    <w:rsid w:val="00F64317"/>
    <w:rsid w:val="00F706DE"/>
    <w:rsid w:val="00F760F5"/>
    <w:rsid w:val="00F971C6"/>
    <w:rsid w:val="00FB13BF"/>
    <w:rsid w:val="00FB1701"/>
    <w:rsid w:val="00FB260E"/>
    <w:rsid w:val="00FE78C4"/>
    <w:rsid w:val="00FF6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20"/>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paragraph" w:styleId="NormalWeb">
    <w:name w:val="Normal (Web)"/>
    <w:basedOn w:val="Normal"/>
    <w:uiPriority w:val="99"/>
    <w:unhideWhenUsed/>
    <w:locked/>
    <w:rsid w:val="00FB13BF"/>
    <w:pPr>
      <w:spacing w:before="100" w:beforeAutospacing="1" w:after="100" w:afterAutospacing="1"/>
    </w:pPr>
    <w:rPr>
      <w:rFonts w:ascii="Times New Roman" w:hAnsi="Times New Roman"/>
      <w:sz w:val="24"/>
      <w:lang w:eastAsia="en-AU"/>
    </w:rPr>
  </w:style>
  <w:style w:type="character" w:customStyle="1" w:styleId="apple-converted-space">
    <w:name w:val="apple-converted-space"/>
    <w:basedOn w:val="DefaultParagraphFont"/>
    <w:rsid w:val="00FB13BF"/>
    <w:rPr>
      <w:rFonts w:cs="Times New Roman"/>
    </w:rPr>
  </w:style>
  <w:style w:type="character" w:styleId="FollowedHyperlink">
    <w:name w:val="FollowedHyperlink"/>
    <w:basedOn w:val="DefaultParagraphFont"/>
    <w:uiPriority w:val="99"/>
    <w:semiHidden/>
    <w:unhideWhenUsed/>
    <w:locked/>
    <w:rsid w:val="001F78FF"/>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20"/>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paragraph" w:styleId="NormalWeb">
    <w:name w:val="Normal (Web)"/>
    <w:basedOn w:val="Normal"/>
    <w:uiPriority w:val="99"/>
    <w:unhideWhenUsed/>
    <w:locked/>
    <w:rsid w:val="00FB13BF"/>
    <w:pPr>
      <w:spacing w:before="100" w:beforeAutospacing="1" w:after="100" w:afterAutospacing="1"/>
    </w:pPr>
    <w:rPr>
      <w:rFonts w:ascii="Times New Roman" w:hAnsi="Times New Roman"/>
      <w:sz w:val="24"/>
      <w:lang w:eastAsia="en-AU"/>
    </w:rPr>
  </w:style>
  <w:style w:type="character" w:customStyle="1" w:styleId="apple-converted-space">
    <w:name w:val="apple-converted-space"/>
    <w:basedOn w:val="DefaultParagraphFont"/>
    <w:rsid w:val="00FB13BF"/>
    <w:rPr>
      <w:rFonts w:cs="Times New Roman"/>
    </w:rPr>
  </w:style>
  <w:style w:type="character" w:styleId="FollowedHyperlink">
    <w:name w:val="FollowedHyperlink"/>
    <w:basedOn w:val="DefaultParagraphFont"/>
    <w:uiPriority w:val="99"/>
    <w:semiHidden/>
    <w:unhideWhenUsed/>
    <w:locked/>
    <w:rsid w:val="001F78FF"/>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9611">
      <w:marLeft w:val="0"/>
      <w:marRight w:val="0"/>
      <w:marTop w:val="0"/>
      <w:marBottom w:val="0"/>
      <w:divBdr>
        <w:top w:val="none" w:sz="0" w:space="0" w:color="auto"/>
        <w:left w:val="none" w:sz="0" w:space="0" w:color="auto"/>
        <w:bottom w:val="none" w:sz="0" w:space="0" w:color="auto"/>
        <w:right w:val="none" w:sz="0" w:space="0" w:color="auto"/>
      </w:divBdr>
    </w:div>
    <w:div w:id="1234579618">
      <w:marLeft w:val="0"/>
      <w:marRight w:val="0"/>
      <w:marTop w:val="0"/>
      <w:marBottom w:val="0"/>
      <w:divBdr>
        <w:top w:val="none" w:sz="0" w:space="0" w:color="auto"/>
        <w:left w:val="none" w:sz="0" w:space="0" w:color="auto"/>
        <w:bottom w:val="none" w:sz="0" w:space="0" w:color="auto"/>
        <w:right w:val="none" w:sz="0" w:space="0" w:color="auto"/>
      </w:divBdr>
    </w:div>
    <w:div w:id="1234579620">
      <w:marLeft w:val="0"/>
      <w:marRight w:val="0"/>
      <w:marTop w:val="0"/>
      <w:marBottom w:val="0"/>
      <w:divBdr>
        <w:top w:val="none" w:sz="0" w:space="0" w:color="auto"/>
        <w:left w:val="none" w:sz="0" w:space="0" w:color="auto"/>
        <w:bottom w:val="none" w:sz="0" w:space="0" w:color="auto"/>
        <w:right w:val="none" w:sz="0" w:space="0" w:color="auto"/>
      </w:divBdr>
      <w:divsChild>
        <w:div w:id="1234579613">
          <w:marLeft w:val="0"/>
          <w:marRight w:val="0"/>
          <w:marTop w:val="240"/>
          <w:marBottom w:val="0"/>
          <w:divBdr>
            <w:top w:val="none" w:sz="0" w:space="0" w:color="auto"/>
            <w:left w:val="none" w:sz="0" w:space="0" w:color="auto"/>
            <w:bottom w:val="none" w:sz="0" w:space="0" w:color="auto"/>
            <w:right w:val="none" w:sz="0" w:space="0" w:color="auto"/>
          </w:divBdr>
          <w:divsChild>
            <w:div w:id="1234579616">
              <w:marLeft w:val="0"/>
              <w:marRight w:val="0"/>
              <w:marTop w:val="0"/>
              <w:marBottom w:val="0"/>
              <w:divBdr>
                <w:top w:val="none" w:sz="0" w:space="0" w:color="auto"/>
                <w:left w:val="none" w:sz="0" w:space="0" w:color="auto"/>
                <w:bottom w:val="none" w:sz="0" w:space="0" w:color="auto"/>
                <w:right w:val="none" w:sz="0" w:space="0" w:color="auto"/>
              </w:divBdr>
              <w:divsChild>
                <w:div w:id="1234579619">
                  <w:marLeft w:val="0"/>
                  <w:marRight w:val="0"/>
                  <w:marTop w:val="0"/>
                  <w:marBottom w:val="0"/>
                  <w:divBdr>
                    <w:top w:val="none" w:sz="0" w:space="0" w:color="auto"/>
                    <w:left w:val="none" w:sz="0" w:space="0" w:color="auto"/>
                    <w:bottom w:val="none" w:sz="0" w:space="0" w:color="auto"/>
                    <w:right w:val="none" w:sz="0" w:space="0" w:color="auto"/>
                  </w:divBdr>
                  <w:divsChild>
                    <w:div w:id="1234579615">
                      <w:marLeft w:val="0"/>
                      <w:marRight w:val="0"/>
                      <w:marTop w:val="0"/>
                      <w:marBottom w:val="0"/>
                      <w:divBdr>
                        <w:top w:val="none" w:sz="0" w:space="0" w:color="auto"/>
                        <w:left w:val="none" w:sz="0" w:space="0" w:color="auto"/>
                        <w:bottom w:val="none" w:sz="0" w:space="0" w:color="auto"/>
                        <w:right w:val="none" w:sz="0" w:space="0" w:color="auto"/>
                      </w:divBdr>
                      <w:divsChild>
                        <w:div w:id="1234579617">
                          <w:marLeft w:val="0"/>
                          <w:marRight w:val="0"/>
                          <w:marTop w:val="0"/>
                          <w:marBottom w:val="0"/>
                          <w:divBdr>
                            <w:top w:val="none" w:sz="0" w:space="0" w:color="auto"/>
                            <w:left w:val="none" w:sz="0" w:space="0" w:color="auto"/>
                            <w:bottom w:val="none" w:sz="0" w:space="0" w:color="auto"/>
                            <w:right w:val="none" w:sz="0" w:space="0" w:color="auto"/>
                          </w:divBdr>
                          <w:divsChild>
                            <w:div w:id="1234579612">
                              <w:marLeft w:val="0"/>
                              <w:marRight w:val="0"/>
                              <w:marTop w:val="0"/>
                              <w:marBottom w:val="0"/>
                              <w:divBdr>
                                <w:top w:val="none" w:sz="0" w:space="0" w:color="auto"/>
                                <w:left w:val="none" w:sz="0" w:space="0" w:color="auto"/>
                                <w:bottom w:val="none" w:sz="0" w:space="0" w:color="auto"/>
                                <w:right w:val="none" w:sz="0" w:space="0" w:color="auto"/>
                              </w:divBdr>
                              <w:divsChild>
                                <w:div w:id="1234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47A78D-6A7C-4B3D-A754-47BB6485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2017-07-27T23:45:00Z</dcterms:created>
  <dcterms:modified xsi:type="dcterms:W3CDTF">2017-07-27T23:45:00Z</dcterms:modified>
</cp:coreProperties>
</file>