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53A4" w:rsidRDefault="00002797" w:rsidP="00AB53A4">
      <w:pPr>
        <w:pStyle w:val="Heading1"/>
      </w:pPr>
      <w:r>
        <w:t xml:space="preserve">New items </w:t>
      </w:r>
      <w:r w:rsidR="00B8649B">
        <w:t>for</w:t>
      </w:r>
      <w:r w:rsidR="0054750D">
        <w:t xml:space="preserve"> </w:t>
      </w:r>
      <w:r w:rsidR="00DE7FA7">
        <w:t xml:space="preserve">radical </w:t>
      </w:r>
      <w:r w:rsidR="00634C85">
        <w:t>p</w:t>
      </w:r>
      <w:r w:rsidR="005957CD">
        <w:t xml:space="preserve">rostatectomy </w:t>
      </w:r>
      <w:r w:rsidR="00AB53A4">
        <w:t>factsheet</w:t>
      </w:r>
    </w:p>
    <w:p w:rsidR="0017279A" w:rsidRDefault="009E5618" w:rsidP="00AB53A4">
      <w:bookmarkStart w:id="0" w:name="_Hlk4568006"/>
      <w:r>
        <w:t xml:space="preserve">Last updated: </w:t>
      </w:r>
      <w:r w:rsidR="00E31003">
        <w:t>09</w:t>
      </w:r>
      <w:r w:rsidR="00084E3C">
        <w:t xml:space="preserve"> October</w:t>
      </w:r>
      <w:r w:rsidR="00AC6691">
        <w:t xml:space="preserve"> 2020</w:t>
      </w:r>
      <w:bookmarkEnd w:id="0"/>
    </w:p>
    <w:p w:rsidR="00BD3C61" w:rsidRDefault="00D377C4" w:rsidP="00AB53A4">
      <w:pPr>
        <w:sectPr w:rsidR="00BD3C61" w:rsidSect="00F50994">
          <w:headerReference w:type="even" r:id="rId7"/>
          <w:headerReference w:type="default" r:id="rId8"/>
          <w:footerReference w:type="even" r:id="rId9"/>
          <w:footerReference w:type="default" r:id="rId10"/>
          <w:headerReference w:type="first" r:id="rId11"/>
          <w:footerReference w:type="first" r:id="rId12"/>
          <w:type w:val="continuous"/>
          <w:pgSz w:w="11906" w:h="16838"/>
          <w:pgMar w:top="3261" w:right="720" w:bottom="720" w:left="720" w:header="708" w:footer="708" w:gutter="0"/>
          <w:cols w:space="708"/>
          <w:docGrid w:linePitch="360"/>
        </w:sectPr>
      </w:pPr>
      <w:r>
        <w:rPr>
          <w:rStyle w:val="BookTitle"/>
        </w:rPr>
        <w:pict>
          <v:rect id="_x0000_i1026" style="width:500.25pt;height:1.35pt" o:hrpct="990" o:hralign="center" o:hrstd="t" o:hr="t" fillcolor="#a0a0a0" stroked="f"/>
        </w:pict>
      </w:r>
    </w:p>
    <w:p w:rsidR="00F074CE" w:rsidRPr="00AB53A4" w:rsidRDefault="00F074CE" w:rsidP="00AB53A4">
      <w:pPr>
        <w:pStyle w:val="Heading2"/>
      </w:pPr>
      <w:r w:rsidRPr="00AB53A4">
        <w:t>What are the changes</w:t>
      </w:r>
      <w:r w:rsidR="002A3C7C" w:rsidRPr="00AB53A4">
        <w:t>?</w:t>
      </w:r>
    </w:p>
    <w:p w:rsidR="002B10E7" w:rsidRDefault="00084E3C" w:rsidP="00B23A4C">
      <w:r>
        <w:t>From</w:t>
      </w:r>
      <w:r w:rsidR="00E923C3">
        <w:t xml:space="preserve"> 1 </w:t>
      </w:r>
      <w:r w:rsidR="001E4D76">
        <w:t>November</w:t>
      </w:r>
      <w:r w:rsidR="00E923C3">
        <w:t xml:space="preserve"> 2020, </w:t>
      </w:r>
      <w:r w:rsidR="00331530">
        <w:t xml:space="preserve">two </w:t>
      </w:r>
      <w:r w:rsidR="002B10E7">
        <w:t xml:space="preserve">new </w:t>
      </w:r>
      <w:r w:rsidR="00CC7668">
        <w:t xml:space="preserve">radical </w:t>
      </w:r>
      <w:r w:rsidR="002B10E7">
        <w:t>prostatect</w:t>
      </w:r>
      <w:r w:rsidR="00302F84">
        <w:t>omy items (</w:t>
      </w:r>
      <w:r w:rsidR="00E923C3">
        <w:t>37213</w:t>
      </w:r>
      <w:r w:rsidR="00CC7668">
        <w:t xml:space="preserve"> and </w:t>
      </w:r>
      <w:r w:rsidR="00E923C3">
        <w:t>37214</w:t>
      </w:r>
      <w:r w:rsidR="002B10E7">
        <w:t xml:space="preserve">) </w:t>
      </w:r>
      <w:r w:rsidR="002530BF">
        <w:t>will be available</w:t>
      </w:r>
      <w:r w:rsidR="002B10E7">
        <w:t xml:space="preserve"> on the Medicare Benefits Schedule (MBS).</w:t>
      </w:r>
    </w:p>
    <w:p w:rsidR="00CC7668" w:rsidRPr="00AC5514" w:rsidRDefault="00736BE1" w:rsidP="00B23A4C">
      <w:r>
        <w:t>Item 37213</w:t>
      </w:r>
      <w:r w:rsidR="00CC7668">
        <w:t xml:space="preserve"> covers radical prostatectomy without lymphadenectomy</w:t>
      </w:r>
      <w:r w:rsidR="008C7D0D">
        <w:t xml:space="preserve">, </w:t>
      </w:r>
      <w:r w:rsidR="000261E7">
        <w:t>complicated</w:t>
      </w:r>
      <w:r w:rsidR="008C7D0D">
        <w:t xml:space="preserve"> by previous radiation </w:t>
      </w:r>
      <w:r w:rsidR="000261E7">
        <w:t>treatment</w:t>
      </w:r>
      <w:r w:rsidR="008C7D0D">
        <w:t xml:space="preserve"> or </w:t>
      </w:r>
      <w:r w:rsidR="000261E7">
        <w:t>focal therapy</w:t>
      </w:r>
      <w:r w:rsidR="00CC7668">
        <w:t>.</w:t>
      </w:r>
      <w:r w:rsidR="001D2B4E">
        <w:t xml:space="preserve"> </w:t>
      </w:r>
      <w:r w:rsidR="00AC5514" w:rsidRPr="00AC5514">
        <w:t>The schedule fee is $2,464.65</w:t>
      </w:r>
      <w:r w:rsidR="00CA5209" w:rsidRPr="00AC5514">
        <w:t>.</w:t>
      </w:r>
    </w:p>
    <w:p w:rsidR="00CC7668" w:rsidRDefault="00736BE1" w:rsidP="00B23A4C">
      <w:r w:rsidRPr="00AC5514">
        <w:t>Item 37214</w:t>
      </w:r>
      <w:r w:rsidR="00CC7668" w:rsidRPr="00AC5514">
        <w:t xml:space="preserve"> covers radical prostatectomy with lymphadenectomy</w:t>
      </w:r>
      <w:r w:rsidR="008C7D0D" w:rsidRPr="00AC5514">
        <w:t xml:space="preserve">, </w:t>
      </w:r>
      <w:r w:rsidR="000261E7" w:rsidRPr="00AC5514">
        <w:t>complicated by previous radiation treatment or focal therapy</w:t>
      </w:r>
      <w:r w:rsidR="00CC7668" w:rsidRPr="00AC5514">
        <w:t>.</w:t>
      </w:r>
      <w:r w:rsidR="00D8187C" w:rsidRPr="00AC5514">
        <w:t xml:space="preserve"> The schedule fee is </w:t>
      </w:r>
      <w:r w:rsidR="00AC5514" w:rsidRPr="00AC5514">
        <w:t>$2,993.70</w:t>
      </w:r>
      <w:r w:rsidR="00CA5209" w:rsidRPr="00AC5514">
        <w:t>.</w:t>
      </w:r>
    </w:p>
    <w:p w:rsidR="006E775C" w:rsidRDefault="00CB75F6" w:rsidP="00B23A4C">
      <w:r>
        <w:t>The</w:t>
      </w:r>
      <w:r w:rsidR="00C34768">
        <w:t xml:space="preserve"> higher schedule fee for item</w:t>
      </w:r>
      <w:r w:rsidR="00E414E2">
        <w:t>s</w:t>
      </w:r>
      <w:r w:rsidR="00C34768">
        <w:t xml:space="preserve"> 3</w:t>
      </w:r>
      <w:r>
        <w:t xml:space="preserve">7213 and 37214 </w:t>
      </w:r>
      <w:r w:rsidR="002B19E2">
        <w:t>recognise</w:t>
      </w:r>
      <w:r w:rsidR="008C7D0D">
        <w:t>s</w:t>
      </w:r>
      <w:r w:rsidR="003F1DBE">
        <w:t xml:space="preserve"> the increase</w:t>
      </w:r>
      <w:r w:rsidR="008C7D0D">
        <w:t>d</w:t>
      </w:r>
      <w:r w:rsidR="003F1DBE">
        <w:t xml:space="preserve"> difficulty and risk</w:t>
      </w:r>
      <w:r w:rsidR="00FD332C">
        <w:t>s</w:t>
      </w:r>
      <w:r w:rsidR="003F1DBE">
        <w:t xml:space="preserve"> associated with the procedure and </w:t>
      </w:r>
      <w:r w:rsidR="00ED033F">
        <w:t>post-operative</w:t>
      </w:r>
      <w:r w:rsidR="003F1DBE">
        <w:t xml:space="preserve"> care</w:t>
      </w:r>
      <w:r w:rsidR="00347832">
        <w:t xml:space="preserve"> </w:t>
      </w:r>
      <w:r w:rsidR="003F1DBE">
        <w:t>compared to</w:t>
      </w:r>
      <w:r w:rsidR="008C7D0D">
        <w:t xml:space="preserve"> standard</w:t>
      </w:r>
      <w:r w:rsidR="003F1DBE">
        <w:t xml:space="preserve"> radical prostatectomy </w:t>
      </w:r>
      <w:r w:rsidR="002B19E2">
        <w:t>(item</w:t>
      </w:r>
      <w:r w:rsidR="008C7D0D">
        <w:t>s</w:t>
      </w:r>
      <w:r w:rsidR="002B19E2">
        <w:t xml:space="preserve"> 37210 and 37211)</w:t>
      </w:r>
      <w:r w:rsidR="003F1DBE">
        <w:t xml:space="preserve">. </w:t>
      </w:r>
    </w:p>
    <w:p w:rsidR="007446A5" w:rsidRDefault="00817CEB" w:rsidP="00B23A4C">
      <w:r>
        <w:t>P</w:t>
      </w:r>
      <w:r w:rsidR="00A639CE">
        <w:t xml:space="preserve">rostate cancer </w:t>
      </w:r>
      <w:r w:rsidR="00D8187C">
        <w:t xml:space="preserve">patients </w:t>
      </w:r>
      <w:r>
        <w:t>must</w:t>
      </w:r>
      <w:r w:rsidR="00A639CE">
        <w:t xml:space="preserve"> </w:t>
      </w:r>
      <w:r w:rsidR="00D8187C">
        <w:t xml:space="preserve">have access to sufficient and balanced information </w:t>
      </w:r>
      <w:r w:rsidR="00C55D4B">
        <w:t xml:space="preserve">in order </w:t>
      </w:r>
      <w:r w:rsidR="00D8187C">
        <w:t>to make an informed decision about their cancer management and treatment option</w:t>
      </w:r>
      <w:r w:rsidR="00476619">
        <w:t>s</w:t>
      </w:r>
      <w:r w:rsidR="00D8187C">
        <w:t xml:space="preserve">. </w:t>
      </w:r>
      <w:r w:rsidR="00CE7BDE">
        <w:t xml:space="preserve">The addition of </w:t>
      </w:r>
      <w:r w:rsidR="008C7D0D">
        <w:t xml:space="preserve">an </w:t>
      </w:r>
      <w:r w:rsidR="00CE7BDE">
        <w:t>e</w:t>
      </w:r>
      <w:r w:rsidR="007446A5">
        <w:t xml:space="preserve">xplanatory note will </w:t>
      </w:r>
      <w:r w:rsidR="00530816">
        <w:t>recognise</w:t>
      </w:r>
      <w:r w:rsidR="007446A5">
        <w:t xml:space="preserve"> that patient management </w:t>
      </w:r>
      <w:r w:rsidR="00CE7BDE">
        <w:t xml:space="preserve">for radical prostatectomies </w:t>
      </w:r>
      <w:r w:rsidR="007446A5">
        <w:t>should include</w:t>
      </w:r>
      <w:r w:rsidR="002530BF">
        <w:t xml:space="preserve"> the following</w:t>
      </w:r>
      <w:r w:rsidR="007446A5">
        <w:t xml:space="preserve">: </w:t>
      </w:r>
    </w:p>
    <w:p w:rsidR="0054046D" w:rsidRDefault="007446A5" w:rsidP="00ED333F">
      <w:pPr>
        <w:pStyle w:val="ListParagraph"/>
      </w:pPr>
      <w:r>
        <w:t>Multi-</w:t>
      </w:r>
      <w:r w:rsidR="00530816">
        <w:t>disciplinary</w:t>
      </w:r>
      <w:r>
        <w:t xml:space="preserve"> management; including </w:t>
      </w:r>
      <w:r w:rsidR="00530816">
        <w:t>multi-disciplinary</w:t>
      </w:r>
      <w:r>
        <w:t xml:space="preserve"> team review</w:t>
      </w:r>
      <w:r w:rsidR="00480FB5">
        <w:t xml:space="preserve"> documented in writing and provided to the patient and referring GP,</w:t>
      </w:r>
      <w:r>
        <w:t xml:space="preserve"> prior </w:t>
      </w:r>
      <w:r w:rsidR="00476619">
        <w:t xml:space="preserve">to </w:t>
      </w:r>
      <w:r>
        <w:t xml:space="preserve">treatment. </w:t>
      </w:r>
    </w:p>
    <w:p w:rsidR="008C7D0D" w:rsidRDefault="00476619" w:rsidP="002A5EB5">
      <w:pPr>
        <w:pStyle w:val="ListParagraph"/>
      </w:pPr>
      <w:r>
        <w:t>A long</w:t>
      </w:r>
      <w:r w:rsidR="002A5EB5">
        <w:t xml:space="preserve"> consultation with </w:t>
      </w:r>
      <w:r>
        <w:t xml:space="preserve">the </w:t>
      </w:r>
      <w:r w:rsidR="008C7D0D">
        <w:t xml:space="preserve">operating </w:t>
      </w:r>
      <w:r w:rsidR="002A5EB5">
        <w:t>surgeon within 6 months prior to surgery</w:t>
      </w:r>
      <w:r w:rsidR="008C7D0D" w:rsidRPr="008C7D0D">
        <w:t xml:space="preserve"> </w:t>
      </w:r>
      <w:r w:rsidR="008C7D0D">
        <w:t>to discuss and provide written information on guideline-endorsed treatment options prior to deciding treatment</w:t>
      </w:r>
      <w:r w:rsidR="002A5EB5">
        <w:t>.</w:t>
      </w:r>
    </w:p>
    <w:p w:rsidR="002A5EB5" w:rsidRDefault="00476619" w:rsidP="00A46FEE">
      <w:pPr>
        <w:pStyle w:val="ListParagraph"/>
      </w:pPr>
      <w:proofErr w:type="spellStart"/>
      <w:r>
        <w:t>Encourag</w:t>
      </w:r>
      <w:proofErr w:type="spellEnd"/>
      <w:r>
        <w:t xml:space="preserve"> men</w:t>
      </w:r>
      <w:r w:rsidR="00A46FEE" w:rsidRPr="00A46FEE">
        <w:t xml:space="preserve"> to see both </w:t>
      </w:r>
      <w:proofErr w:type="gramStart"/>
      <w:r w:rsidR="00A46FEE" w:rsidRPr="00A46FEE">
        <w:t>a</w:t>
      </w:r>
      <w:proofErr w:type="gramEnd"/>
      <w:r w:rsidR="00A46FEE" w:rsidRPr="00A46FEE">
        <w:t xml:space="preserve"> urologist and a radiation oncologist to discuss their options prior to undergoing any active treatment for prostate cancer.</w:t>
      </w:r>
      <w:r w:rsidR="00A46FEE">
        <w:t xml:space="preserve"> </w:t>
      </w:r>
      <w:r w:rsidR="008C7D0D">
        <w:t>A record of a patient’s decision to not accept a referral to a radiation oncologist (from the urologist or GP) should be clearly documented in the patient’s medical record.</w:t>
      </w:r>
    </w:p>
    <w:p w:rsidR="00135417" w:rsidRDefault="00135417" w:rsidP="00AB53A4">
      <w:pPr>
        <w:pStyle w:val="Heading2"/>
      </w:pPr>
      <w:r>
        <w:t xml:space="preserve">Why </w:t>
      </w:r>
      <w:r w:rsidR="009F52D4">
        <w:t>are the changes being made</w:t>
      </w:r>
      <w:r>
        <w:t>?</w:t>
      </w:r>
    </w:p>
    <w:p w:rsidR="00B34FEF" w:rsidRDefault="002450AA" w:rsidP="00A64177">
      <w:r>
        <w:t xml:space="preserve">The </w:t>
      </w:r>
      <w:r w:rsidR="00411A50">
        <w:t xml:space="preserve">MBS Review (the </w:t>
      </w:r>
      <w:r>
        <w:t>Taskforce</w:t>
      </w:r>
      <w:r w:rsidR="00411A50">
        <w:t>)</w:t>
      </w:r>
      <w:r w:rsidR="00ED0D99">
        <w:t xml:space="preserve"> </w:t>
      </w:r>
      <w:r w:rsidR="00530816">
        <w:t>recommendations</w:t>
      </w:r>
      <w:r w:rsidR="00ED0D99">
        <w:t xml:space="preserve"> aim</w:t>
      </w:r>
      <w:r>
        <w:t xml:space="preserve"> to improve patient care and experiences and ensure that the MBS is modern and simplified to align with professional standards.</w:t>
      </w:r>
      <w:r w:rsidR="009E1D1F">
        <w:t xml:space="preserve"> </w:t>
      </w:r>
      <w:r w:rsidR="00DD4EB7">
        <w:t xml:space="preserve">These changes </w:t>
      </w:r>
      <w:r w:rsidR="00421606">
        <w:t>were</w:t>
      </w:r>
      <w:r w:rsidR="00DD4EB7">
        <w:t xml:space="preserve"> informed by the Urology Clinical Committe</w:t>
      </w:r>
      <w:r w:rsidR="00D237A4">
        <w:t>e (UCC) and extensive consultation</w:t>
      </w:r>
      <w:r w:rsidR="00DD4EB7">
        <w:t xml:space="preserve"> with key stakeholders. </w:t>
      </w:r>
    </w:p>
    <w:p w:rsidR="00A65C09" w:rsidRDefault="00D30303" w:rsidP="00A64177">
      <w:r>
        <w:t>There are currently separate items for radical prostatectomy without lymphadenectomy (item 37210) and prostatectomy with lymphadenectomy (item 37211).</w:t>
      </w:r>
      <w:r w:rsidR="004F383F">
        <w:t xml:space="preserve"> The creation of two new items </w:t>
      </w:r>
      <w:r w:rsidR="001D24A8">
        <w:t xml:space="preserve">(37213 and 37214) </w:t>
      </w:r>
      <w:r w:rsidR="004F383F">
        <w:t xml:space="preserve">will accurately reflect the </w:t>
      </w:r>
      <w:r w:rsidR="00C842DE">
        <w:t>complexities</w:t>
      </w:r>
      <w:r w:rsidR="004F383F">
        <w:t xml:space="preserve"> of prostatectomies</w:t>
      </w:r>
      <w:r w:rsidR="00B97C3F">
        <w:t xml:space="preserve"> </w:t>
      </w:r>
      <w:r w:rsidR="00D705B1">
        <w:t>when performed after previous radiation therapy</w:t>
      </w:r>
      <w:r w:rsidR="000261E7">
        <w:t xml:space="preserve"> or focal therapy</w:t>
      </w:r>
      <w:r w:rsidR="00B97C3F">
        <w:t>. T</w:t>
      </w:r>
      <w:r w:rsidR="00DD4EB7">
        <w:t xml:space="preserve">he </w:t>
      </w:r>
      <w:r w:rsidR="00DD4EB7">
        <w:lastRenderedPageBreak/>
        <w:t xml:space="preserve">addition of </w:t>
      </w:r>
      <w:r w:rsidR="00A71144">
        <w:t>explanatory notes</w:t>
      </w:r>
      <w:r w:rsidR="00A74873">
        <w:t xml:space="preserve"> </w:t>
      </w:r>
      <w:r w:rsidR="00B97C3F">
        <w:t>will</w:t>
      </w:r>
      <w:r w:rsidR="008A41AF">
        <w:t xml:space="preserve"> </w:t>
      </w:r>
      <w:r w:rsidR="007971BD">
        <w:t xml:space="preserve">ensure </w:t>
      </w:r>
      <w:r w:rsidR="00A71144">
        <w:t>that diagnosed prostate cancer patients receive the necessary inform</w:t>
      </w:r>
      <w:r w:rsidR="00BC494B">
        <w:t>ation to make an informed decision</w:t>
      </w:r>
      <w:r w:rsidR="00A71144">
        <w:t xml:space="preserve"> on their cancer management and treatment options. </w:t>
      </w:r>
    </w:p>
    <w:p w:rsidR="002450AA" w:rsidRDefault="00AF03DE" w:rsidP="00A64177">
      <w:r>
        <w:t xml:space="preserve">More information about the Taskforce and associated Committees is available in </w:t>
      </w:r>
      <w:hyperlink r:id="rId13" w:history="1">
        <w:r w:rsidR="00D93F43" w:rsidRPr="00FE50B6">
          <w:rPr>
            <w:rStyle w:val="Hyperlink"/>
          </w:rPr>
          <w:t>Medicare Benefits Schedule Review</w:t>
        </w:r>
      </w:hyperlink>
      <w:r w:rsidR="00D93F43">
        <w:t xml:space="preserve"> </w:t>
      </w:r>
      <w:r>
        <w:t xml:space="preserve">in the consumer section of the </w:t>
      </w:r>
      <w:hyperlink r:id="rId14" w:history="1">
        <w:r w:rsidRPr="00D93F43">
          <w:rPr>
            <w:rStyle w:val="Hyperlink"/>
          </w:rPr>
          <w:t>Department of Health</w:t>
        </w:r>
      </w:hyperlink>
      <w:r>
        <w:t xml:space="preserve"> website. A full copy of the Taskforce’s final report can be found at: </w:t>
      </w:r>
      <w:hyperlink r:id="rId15" w:history="1">
        <w:r w:rsidRPr="0083035E">
          <w:rPr>
            <w:rStyle w:val="Hyperlink"/>
          </w:rPr>
          <w:t>Taskforce report on Urology MBS items</w:t>
        </w:r>
      </w:hyperlink>
      <w:r>
        <w:t xml:space="preserve">. </w:t>
      </w:r>
    </w:p>
    <w:p w:rsidR="00425089" w:rsidRDefault="00425089" w:rsidP="00AB53A4">
      <w:pPr>
        <w:pStyle w:val="Heading2"/>
      </w:pPr>
      <w:r>
        <w:t xml:space="preserve">What does this mean for </w:t>
      </w:r>
      <w:r w:rsidR="00135417">
        <w:t>providers</w:t>
      </w:r>
      <w:r>
        <w:t>?</w:t>
      </w:r>
    </w:p>
    <w:p w:rsidR="00FB6DA3" w:rsidRDefault="00FB1BD5" w:rsidP="00FB6DA3">
      <w:r>
        <w:t>This change</w:t>
      </w:r>
      <w:r w:rsidR="007049C8">
        <w:t xml:space="preserve"> offers providers </w:t>
      </w:r>
      <w:r w:rsidR="00476619">
        <w:t>an alternative item</w:t>
      </w:r>
      <w:r w:rsidR="00517FBA">
        <w:t xml:space="preserve"> to standard radical prost</w:t>
      </w:r>
      <w:r w:rsidR="00A71144">
        <w:t>at</w:t>
      </w:r>
      <w:r w:rsidR="007049C8">
        <w:t xml:space="preserve">ectomy </w:t>
      </w:r>
      <w:r w:rsidR="00857A0D">
        <w:t>for patients who require</w:t>
      </w:r>
      <w:r w:rsidR="007049C8">
        <w:t xml:space="preserve"> radical </w:t>
      </w:r>
      <w:r>
        <w:t>prostatectomy</w:t>
      </w:r>
      <w:r w:rsidR="00FE341F">
        <w:t xml:space="preserve"> that has been complicated by a prior</w:t>
      </w:r>
      <w:r w:rsidR="000261E7">
        <w:t xml:space="preserve"> radiation</w:t>
      </w:r>
      <w:r w:rsidR="00FE341F">
        <w:t xml:space="preserve"> treatment</w:t>
      </w:r>
      <w:r w:rsidR="000261E7">
        <w:t xml:space="preserve"> or focal therapy</w:t>
      </w:r>
      <w:r>
        <w:t xml:space="preserve">. </w:t>
      </w:r>
      <w:r w:rsidR="00863619">
        <w:t>Providers</w:t>
      </w:r>
      <w:r w:rsidR="009411B7">
        <w:t xml:space="preserve"> accessing </w:t>
      </w:r>
      <w:r w:rsidR="00802898">
        <w:t xml:space="preserve">items 37213 and 37214 </w:t>
      </w:r>
      <w:r w:rsidR="0011165E">
        <w:t xml:space="preserve">should </w:t>
      </w:r>
      <w:r w:rsidR="00530816">
        <w:t>familiarise</w:t>
      </w:r>
      <w:r w:rsidR="00A52EE2">
        <w:t xml:space="preserve"> themselves with the </w:t>
      </w:r>
      <w:r w:rsidR="00FB6DA3">
        <w:t xml:space="preserve">item descriptor and </w:t>
      </w:r>
      <w:r w:rsidR="00A52EE2">
        <w:t>explanatory notes</w:t>
      </w:r>
      <w:r w:rsidR="00FE6312">
        <w:t xml:space="preserve"> to maintain contemporary best practice and clinical informed consent</w:t>
      </w:r>
      <w:r w:rsidR="00FB6DA3">
        <w:t>.</w:t>
      </w:r>
    </w:p>
    <w:p w:rsidR="00FB6DA3" w:rsidRDefault="00D54B03" w:rsidP="00FB6DA3">
      <w:r>
        <w:t>Providers should inform</w:t>
      </w:r>
      <w:r w:rsidR="00FD0122">
        <w:t xml:space="preserve"> </w:t>
      </w:r>
      <w:r>
        <w:t>patients</w:t>
      </w:r>
      <w:r w:rsidR="001A6F98">
        <w:t xml:space="preserve"> of </w:t>
      </w:r>
      <w:r w:rsidR="00FE341F">
        <w:t>their treatment options</w:t>
      </w:r>
      <w:r w:rsidR="001A6F98">
        <w:t xml:space="preserve"> so the</w:t>
      </w:r>
      <w:r w:rsidR="00FE341F">
        <w:t xml:space="preserve"> patient</w:t>
      </w:r>
      <w:r w:rsidR="001A6F98">
        <w:t xml:space="preserve"> can make an appropriate decision for their circumsta</w:t>
      </w:r>
      <w:r w:rsidR="00BE64FB">
        <w:t xml:space="preserve">nces. </w:t>
      </w:r>
      <w:r w:rsidR="00FE341F">
        <w:t xml:space="preserve">Urologists </w:t>
      </w:r>
      <w:r w:rsidR="00BE64FB">
        <w:t>should work</w:t>
      </w:r>
      <w:r w:rsidR="00813EF3">
        <w:t xml:space="preserve"> with a multi-disciplinary team</w:t>
      </w:r>
      <w:r w:rsidR="005C3827">
        <w:t xml:space="preserve"> involving radiation oncologists, medical oncologists and other disciplines</w:t>
      </w:r>
      <w:r w:rsidR="00813EF3">
        <w:t xml:space="preserve"> to achieve the best outcome for patients undergoing active prostate cancer management</w:t>
      </w:r>
      <w:r w:rsidR="007F21F4">
        <w:t>.</w:t>
      </w:r>
    </w:p>
    <w:p w:rsidR="00BF00A9" w:rsidRDefault="008766AD" w:rsidP="00AB53A4">
      <w:pPr>
        <w:pStyle w:val="Heading2"/>
      </w:pPr>
      <w:r>
        <w:t>How will</w:t>
      </w:r>
      <w:r w:rsidR="009F52D4">
        <w:t xml:space="preserve"> these changes affect patients</w:t>
      </w:r>
      <w:r w:rsidR="00BF00A9" w:rsidRPr="001A7FB7">
        <w:t>?</w:t>
      </w:r>
    </w:p>
    <w:p w:rsidR="00447A05" w:rsidRDefault="00D0465E" w:rsidP="00A64177">
      <w:r>
        <w:rPr>
          <w:rFonts w:cs="Arial"/>
          <w:color w:val="222222"/>
        </w:rPr>
        <w:t xml:space="preserve">The changes will allow </w:t>
      </w:r>
      <w:r w:rsidR="00104EC1">
        <w:rPr>
          <w:rFonts w:cs="Arial"/>
          <w:color w:val="222222"/>
        </w:rPr>
        <w:t>access</w:t>
      </w:r>
      <w:r>
        <w:rPr>
          <w:rFonts w:cs="Arial"/>
          <w:color w:val="222222"/>
        </w:rPr>
        <w:t xml:space="preserve"> to</w:t>
      </w:r>
      <w:r w:rsidR="00104EC1">
        <w:rPr>
          <w:rFonts w:cs="Arial"/>
          <w:color w:val="222222"/>
        </w:rPr>
        <w:t xml:space="preserve"> increased Medicare rebates for radical prostatectomy services made more complex by previous radiation therapy. </w:t>
      </w:r>
      <w:r w:rsidR="00744470">
        <w:t xml:space="preserve">Patients </w:t>
      </w:r>
      <w:r w:rsidR="00EB428B">
        <w:t>should be informed of any potential risks</w:t>
      </w:r>
      <w:r w:rsidR="00476619">
        <w:t xml:space="preserve"> or other suitable alternative treatment options</w:t>
      </w:r>
      <w:r w:rsidR="00EB428B">
        <w:t xml:space="preserve"> so they can make an appropriate</w:t>
      </w:r>
      <w:r w:rsidR="008B4581">
        <w:t xml:space="preserve"> </w:t>
      </w:r>
      <w:r w:rsidR="00EB428B">
        <w:t xml:space="preserve">decision for their circumstances. </w:t>
      </w:r>
      <w:r w:rsidR="00104EC1">
        <w:t xml:space="preserve"> </w:t>
      </w:r>
    </w:p>
    <w:p w:rsidR="00595BBD" w:rsidRDefault="00595BBD" w:rsidP="00AB53A4">
      <w:pPr>
        <w:pStyle w:val="Heading2"/>
      </w:pPr>
      <w:r w:rsidRPr="001A7FB7">
        <w:t>Who was consulted on the changes?</w:t>
      </w:r>
    </w:p>
    <w:p w:rsidR="00923B99" w:rsidRPr="00BB7656" w:rsidRDefault="00923B99" w:rsidP="00923B99">
      <w:r w:rsidRPr="00BB7656">
        <w:t xml:space="preserve">The </w:t>
      </w:r>
      <w:r>
        <w:t>UCC</w:t>
      </w:r>
      <w:r w:rsidRPr="00BB7656">
        <w:t xml:space="preserve"> was established in </w:t>
      </w:r>
      <w:r>
        <w:t>January</w:t>
      </w:r>
      <w:r w:rsidRPr="00BB7656">
        <w:t xml:space="preserve"> 201</w:t>
      </w:r>
      <w:r>
        <w:t>8</w:t>
      </w:r>
      <w:r w:rsidRPr="00BB7656">
        <w:t xml:space="preserve"> by the Taskforce to provide broad clinician and consumer expertise. Feedback from stakeholders including peak bodies, colleges, individual health professionals, and consumers, was considered by the </w:t>
      </w:r>
      <w:r>
        <w:t>U</w:t>
      </w:r>
      <w:r w:rsidRPr="00BB7656">
        <w:t xml:space="preserve">CC prior to making its final recommendations to the Taskforce. </w:t>
      </w:r>
    </w:p>
    <w:p w:rsidR="00722F27" w:rsidRPr="00722F27" w:rsidRDefault="00722F27" w:rsidP="00722F27">
      <w:pPr>
        <w:rPr>
          <w:bCs/>
          <w:iCs/>
        </w:rPr>
      </w:pPr>
      <w:r w:rsidRPr="00722F27">
        <w:rPr>
          <w:bCs/>
          <w:iCs/>
        </w:rPr>
        <w:t xml:space="preserve">The Taskforce undertook public consultation during the review of urology services. Once approved by Government, the Department of Health held an Implementation Liaison Group meeting with relevant stakeholders including the Urological Society of Australia and New Zealand (USANZ); Royal Australian College of Surgeons (RACS); Royal Australian and New Zealand College of Radiologists (RANZCR); Royal Australian College of General Practitioners (RACGP); Australian Medical Association (AMA); and the private hospital and private health insurance sectors to discuss any unintended </w:t>
      </w:r>
      <w:proofErr w:type="spellStart"/>
      <w:r w:rsidRPr="00722F27">
        <w:rPr>
          <w:bCs/>
          <w:iCs/>
        </w:rPr>
        <w:t>cosequences</w:t>
      </w:r>
      <w:proofErr w:type="spellEnd"/>
      <w:r w:rsidRPr="00722F27">
        <w:rPr>
          <w:bCs/>
          <w:iCs/>
        </w:rPr>
        <w:t xml:space="preserve"> arising from the proposed changes. </w:t>
      </w:r>
    </w:p>
    <w:p w:rsidR="00722F27" w:rsidRDefault="00722F27" w:rsidP="00722F27">
      <w:r w:rsidRPr="00722F27">
        <w:rPr>
          <w:bCs/>
          <w:iCs/>
        </w:rPr>
        <w:t>The changes to urology services are a result of the Taskforce endorsed recommendations and consultation with stakeholders</w:t>
      </w:r>
      <w:r w:rsidR="00923B99" w:rsidRPr="00BB7656">
        <w:t>.</w:t>
      </w:r>
    </w:p>
    <w:p w:rsidR="00722F27" w:rsidRDefault="00722F27" w:rsidP="00722F27">
      <w:r>
        <w:br w:type="page"/>
      </w:r>
    </w:p>
    <w:p w:rsidR="00595BBD" w:rsidRDefault="00595BBD" w:rsidP="00AB53A4">
      <w:pPr>
        <w:pStyle w:val="Heading2"/>
      </w:pPr>
      <w:r w:rsidRPr="001A7FB7">
        <w:lastRenderedPageBreak/>
        <w:t>How will the changes be monitored</w:t>
      </w:r>
      <w:r w:rsidR="000367AA">
        <w:t xml:space="preserve"> and reviewed</w:t>
      </w:r>
      <w:r w:rsidRPr="001A7FB7">
        <w:t>?</w:t>
      </w:r>
    </w:p>
    <w:p w:rsidR="00B11F97" w:rsidRDefault="00B11F97" w:rsidP="00B11F97">
      <w:r>
        <w:t xml:space="preserve">Urology items will be subject to MBS compliance processes and activities, including random and targeted audits which may require a provider to submit evidence about the services claimed. </w:t>
      </w:r>
    </w:p>
    <w:p w:rsidR="00B11F97" w:rsidRDefault="00B11F97" w:rsidP="00B11F97">
      <w:r>
        <w:t xml:space="preserve">Significant variation from forecasted expenditure may warrant review and amendment of fees, and incorrect use of MBS items can result in penalties including the health professional being asked to repay monies that have been incorrectly received. </w:t>
      </w:r>
    </w:p>
    <w:p w:rsidR="00696E63" w:rsidRDefault="00E4363A" w:rsidP="00B11F97">
      <w:r w:rsidRPr="00E4363A">
        <w:t>The new and amended MBS urology items will be reviewed approximately 24 months post-implementation</w:t>
      </w:r>
      <w:r w:rsidR="00854BC8">
        <w:t>.</w:t>
      </w:r>
    </w:p>
    <w:p w:rsidR="00F93F71" w:rsidRDefault="00F93F71" w:rsidP="00AB53A4">
      <w:pPr>
        <w:pStyle w:val="Heading2"/>
      </w:pPr>
      <w:r>
        <w:t>Where can I find more information?</w:t>
      </w:r>
    </w:p>
    <w:p w:rsidR="00D6302E" w:rsidRDefault="00D6302E" w:rsidP="00151636">
      <w:r>
        <w:t xml:space="preserve">The </w:t>
      </w:r>
      <w:r w:rsidR="00906199">
        <w:t>current</w:t>
      </w:r>
      <w:r>
        <w:t xml:space="preserve"> item descriptor</w:t>
      </w:r>
      <w:r w:rsidR="005E1472">
        <w:t>s</w:t>
      </w:r>
      <w:r>
        <w:t xml:space="preserve"> and</w:t>
      </w:r>
      <w:r w:rsidRPr="007E14C4">
        <w:t xml:space="preserve"> information on other changes to the MBS</w:t>
      </w:r>
      <w:r>
        <w:t xml:space="preserve"> can be found</w:t>
      </w:r>
      <w:r w:rsidR="005E1472">
        <w:t xml:space="preserve"> </w:t>
      </w:r>
      <w:r w:rsidR="00ED1055">
        <w:t>on the</w:t>
      </w:r>
      <w:r w:rsidR="0018507E">
        <w:t xml:space="preserve"> </w:t>
      </w:r>
      <w:r w:rsidR="00141BC3" w:rsidRPr="003122B4">
        <w:t>MBS Online</w:t>
      </w:r>
      <w:r w:rsidR="0018507E">
        <w:t xml:space="preserve"> </w:t>
      </w:r>
      <w:r w:rsidR="00ED1055">
        <w:t xml:space="preserve">website at </w:t>
      </w:r>
      <w:hyperlink r:id="rId16" w:history="1">
        <w:r w:rsidR="00420023" w:rsidRPr="00820A5A">
          <w:rPr>
            <w:rStyle w:val="Hyperlink"/>
          </w:rPr>
          <w:t>www.mbsonline.gov.au</w:t>
        </w:r>
      </w:hyperlink>
      <w:r w:rsidR="00AA69A9">
        <w:rPr>
          <w:rStyle w:val="Hyperlink"/>
        </w:rPr>
        <w:t>.</w:t>
      </w:r>
      <w:r w:rsidRPr="001A7BED">
        <w:t xml:space="preserve"> </w:t>
      </w:r>
      <w:r w:rsidR="0018507E">
        <w:t xml:space="preserve">You can also </w:t>
      </w:r>
      <w:r w:rsidR="00D16EF3">
        <w:t xml:space="preserve">subscribe to </w:t>
      </w:r>
      <w:r w:rsidR="00D16EF3" w:rsidRPr="00C812D8">
        <w:t>future</w:t>
      </w:r>
      <w:r w:rsidR="00D16EF3" w:rsidRPr="00215118">
        <w:t xml:space="preserve"> MBS updates </w:t>
      </w:r>
      <w:r w:rsidR="00D16EF3">
        <w:t xml:space="preserve">by visiting </w:t>
      </w:r>
      <w:hyperlink r:id="rId17" w:history="1">
        <w:r w:rsidR="00ED1055" w:rsidRPr="00420023">
          <w:rPr>
            <w:rStyle w:val="Hyperlink"/>
          </w:rPr>
          <w:t>MBS Online</w:t>
        </w:r>
      </w:hyperlink>
      <w:r w:rsidR="00ED1055">
        <w:t xml:space="preserve"> a</w:t>
      </w:r>
      <w:r w:rsidR="00D62923">
        <w:t>nd clicking</w:t>
      </w:r>
      <w:r w:rsidR="00D16EF3">
        <w:t xml:space="preserve"> ‘Subscribe’.</w:t>
      </w:r>
      <w:r>
        <w:t xml:space="preserve"> </w:t>
      </w:r>
    </w:p>
    <w:p w:rsidR="00ED1055" w:rsidRDefault="00ED1055">
      <w:r>
        <w:t xml:space="preserve">The Department of Health provides an email advice service for providers seeking advice on interpretation of the MBS items and rules and the Health Insurance Act and associated regulations. If you have a query relating exclusively to interpretation of the Schedule, you should email </w:t>
      </w:r>
      <w:hyperlink r:id="rId18" w:history="1">
        <w:r w:rsidRPr="00AF4D21">
          <w:rPr>
            <w:rStyle w:val="Hyperlink"/>
          </w:rPr>
          <w:t>askMBS@health.gov.au</w:t>
        </w:r>
      </w:hyperlink>
      <w:r>
        <w:t>.</w:t>
      </w:r>
    </w:p>
    <w:p w:rsidR="00B378D4" w:rsidRDefault="00B378D4">
      <w:r>
        <w:t>Subscribe to ‘</w:t>
      </w:r>
      <w:hyperlink r:id="rId19" w:history="1">
        <w:r w:rsidRPr="00B378D4">
          <w:rPr>
            <w:rStyle w:val="Hyperlink"/>
          </w:rPr>
          <w:t>News for Health Professionals</w:t>
        </w:r>
      </w:hyperlink>
      <w:r>
        <w:t xml:space="preserve">’ on the </w:t>
      </w:r>
      <w:r w:rsidR="00D377C4">
        <w:t xml:space="preserve">Services Australia </w:t>
      </w:r>
      <w:bookmarkStart w:id="1" w:name="_GoBack"/>
      <w:bookmarkEnd w:id="1"/>
      <w:r>
        <w:t>website and you will receive regular news highlights.</w:t>
      </w:r>
    </w:p>
    <w:p w:rsidR="00ED1055" w:rsidRDefault="00ED1055">
      <w:r>
        <w:t xml:space="preserve">If you are seeking advice in relation to Medicare billing, claiming, payments, or obtaining a provider number, please </w:t>
      </w:r>
      <w:bookmarkStart w:id="2" w:name="_Hlk7773414"/>
      <w:r w:rsidR="00B378D4">
        <w:t xml:space="preserve">go to the Health Professionals page on the </w:t>
      </w:r>
      <w:r w:rsidR="001D2B4E">
        <w:t>Services Australia</w:t>
      </w:r>
      <w:r w:rsidR="00B378D4">
        <w:t xml:space="preserve"> website or </w:t>
      </w:r>
      <w:bookmarkEnd w:id="2"/>
      <w:r>
        <w:t xml:space="preserve">contact </w:t>
      </w:r>
      <w:r w:rsidR="001D2B4E">
        <w:t>Services Australia</w:t>
      </w:r>
      <w:r>
        <w:t xml:space="preserve"> on the Provider Enquiry Line </w:t>
      </w:r>
      <w:r w:rsidR="00E7460D">
        <w:t>–</w:t>
      </w:r>
      <w:r>
        <w:t xml:space="preserve"> 13 21 50. </w:t>
      </w:r>
    </w:p>
    <w:p w:rsidR="00906199" w:rsidRPr="00906199" w:rsidRDefault="00906199" w:rsidP="00906199">
      <w:r w:rsidRPr="00906199">
        <w:t xml:space="preserve">The data file for software vendors is available and can be accessed via the MBS Online website under the </w:t>
      </w:r>
      <w:hyperlink r:id="rId20" w:history="1">
        <w:r w:rsidRPr="00906199">
          <w:rPr>
            <w:rStyle w:val="Hyperlink"/>
          </w:rPr>
          <w:t>Downloads</w:t>
        </w:r>
      </w:hyperlink>
      <w:r w:rsidRPr="00906199">
        <w:t xml:space="preserve"> page.</w:t>
      </w:r>
    </w:p>
    <w:p w:rsidR="00FE341F" w:rsidRDefault="00FE341F" w:rsidP="00FE341F">
      <w:pPr>
        <w:pStyle w:val="Disclaimer"/>
      </w:pPr>
      <w:r w:rsidRPr="0029176A">
        <w:t xml:space="preserve">Please note that the information provided is a general guide only. It is ultimately the responsibility of treating practitioners to use their professional judgment to determine the most clinically appropriate services to provide, and then to ensure that any services billed to Medicare fully meet the eligibility requirements outlined in the legislation. </w:t>
      </w:r>
    </w:p>
    <w:p w:rsidR="007F21F4" w:rsidRDefault="00FE341F" w:rsidP="001002C0">
      <w:pPr>
        <w:pStyle w:val="Disclaimer"/>
      </w:pPr>
      <w:r w:rsidRPr="0029176A">
        <w:t xml:space="preserve">This sheet is current as of the </w:t>
      </w:r>
      <w:r>
        <w:t>L</w:t>
      </w:r>
      <w:r w:rsidRPr="0029176A">
        <w:t>ast updated date</w:t>
      </w:r>
      <w:r>
        <w:t xml:space="preserve"> shown above</w:t>
      </w:r>
      <w:r w:rsidRPr="0029176A">
        <w:t>, and does not account for MBS changes</w:t>
      </w:r>
      <w:r>
        <w:t xml:space="preserve"> since that date</w:t>
      </w:r>
      <w:r w:rsidRPr="0029176A">
        <w:t>.</w:t>
      </w:r>
    </w:p>
    <w:p w:rsidR="007F21F4" w:rsidRDefault="007F21F4" w:rsidP="007F21F4">
      <w:pPr>
        <w:rPr>
          <w:sz w:val="16"/>
          <w:szCs w:val="16"/>
        </w:rPr>
      </w:pPr>
      <w:r>
        <w:br w:type="page"/>
      </w:r>
    </w:p>
    <w:p w:rsidR="005333E3" w:rsidRDefault="00154DC3" w:rsidP="005333E3">
      <w:pPr>
        <w:pStyle w:val="Heading2"/>
      </w:pPr>
      <w:r>
        <w:lastRenderedPageBreak/>
        <w:t>New item</w:t>
      </w:r>
      <w:r w:rsidR="00117F1A">
        <w:t xml:space="preserve"> descriptors</w:t>
      </w:r>
      <w:r>
        <w:t xml:space="preserve"> and Explanatory Note</w:t>
      </w:r>
    </w:p>
    <w:p w:rsidR="00775C2F" w:rsidRPr="00EA46D7" w:rsidRDefault="00117F1A" w:rsidP="00775C2F">
      <w:pPr>
        <w:rPr>
          <w:b/>
        </w:rPr>
      </w:pPr>
      <w:r w:rsidRPr="00EA46D7">
        <w:rPr>
          <w:b/>
        </w:rPr>
        <w:t>*</w:t>
      </w:r>
      <w:r w:rsidR="00154DC3" w:rsidRPr="00EA46D7">
        <w:rPr>
          <w:b/>
        </w:rPr>
        <w:t>Changes are subject to the passage of legislation a</w:t>
      </w:r>
      <w:r w:rsidR="002D1F8C">
        <w:rPr>
          <w:b/>
        </w:rPr>
        <w:t>nd may differ to final version.</w:t>
      </w:r>
    </w:p>
    <w:tbl>
      <w:tblPr>
        <w:tblStyle w:val="ListTable1Light-Accent2"/>
        <w:tblW w:w="0" w:type="auto"/>
        <w:tblLook w:val="04A0" w:firstRow="1" w:lastRow="0" w:firstColumn="1" w:lastColumn="0" w:noHBand="0" w:noVBand="1"/>
      </w:tblPr>
      <w:tblGrid>
        <w:gridCol w:w="2552"/>
        <w:gridCol w:w="7904"/>
      </w:tblGrid>
      <w:tr w:rsidR="00775C2F" w:rsidTr="00BE1A3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Pr>
          <w:p w:rsidR="00F672D1" w:rsidRPr="003D7FEE" w:rsidRDefault="003074DF" w:rsidP="00E401A9">
            <w:pPr>
              <w:rPr>
                <w:rFonts w:cs="Arial"/>
                <w:szCs w:val="20"/>
              </w:rPr>
            </w:pPr>
            <w:r w:rsidRPr="003D7FEE">
              <w:rPr>
                <w:rFonts w:cs="Arial"/>
                <w:szCs w:val="20"/>
              </w:rPr>
              <w:t>37213</w:t>
            </w:r>
            <w:r w:rsidR="00763501">
              <w:rPr>
                <w:rFonts w:cs="Arial"/>
                <w:szCs w:val="20"/>
              </w:rPr>
              <w:t xml:space="preserve"> </w:t>
            </w:r>
            <w:r w:rsidR="00F672D1" w:rsidRPr="003D7FEE">
              <w:rPr>
                <w:rFonts w:cs="Arial"/>
                <w:szCs w:val="20"/>
              </w:rPr>
              <w:t>item descriptor</w:t>
            </w:r>
          </w:p>
        </w:tc>
        <w:tc>
          <w:tcPr>
            <w:tcW w:w="7904" w:type="dxa"/>
          </w:tcPr>
          <w:p w:rsidR="00AC5514" w:rsidRPr="00AC5514" w:rsidRDefault="00AC5514" w:rsidP="00AC5514">
            <w:pPr>
              <w:autoSpaceDE w:val="0"/>
              <w:autoSpaceDN w:val="0"/>
              <w:adjustRightInd w:val="0"/>
              <w:spacing w:line="240" w:lineRule="auto"/>
              <w:cnfStyle w:val="100000000000" w:firstRow="1" w:lastRow="0" w:firstColumn="0" w:lastColumn="0" w:oddVBand="0" w:evenVBand="0" w:oddHBand="0" w:evenHBand="0" w:firstRowFirstColumn="0" w:firstRowLastColumn="0" w:lastRowFirstColumn="0" w:lastRowLastColumn="0"/>
              <w:rPr>
                <w:rFonts w:eastAsiaTheme="minorHAnsi" w:cs="Arial"/>
                <w:b w:val="0"/>
                <w:szCs w:val="20"/>
              </w:rPr>
            </w:pPr>
            <w:r w:rsidRPr="00AC5514">
              <w:rPr>
                <w:rFonts w:eastAsiaTheme="minorHAnsi" w:cs="Arial"/>
                <w:b w:val="0"/>
                <w:szCs w:val="20"/>
              </w:rPr>
              <w:t>Prostatectomy, radical, involving total excision of the prostate, sparing of nerves around the prostate (where clinically indicated):</w:t>
            </w:r>
          </w:p>
          <w:p w:rsidR="00AC5514" w:rsidRPr="00AC5514" w:rsidRDefault="00AC5514" w:rsidP="00AC5514">
            <w:pPr>
              <w:autoSpaceDE w:val="0"/>
              <w:autoSpaceDN w:val="0"/>
              <w:adjustRightInd w:val="0"/>
              <w:spacing w:line="240" w:lineRule="auto"/>
              <w:ind w:left="720"/>
              <w:cnfStyle w:val="100000000000" w:firstRow="1" w:lastRow="0" w:firstColumn="0" w:lastColumn="0" w:oddVBand="0" w:evenVBand="0" w:oddHBand="0" w:evenHBand="0" w:firstRowFirstColumn="0" w:firstRowLastColumn="0" w:lastRowFirstColumn="0" w:lastRowLastColumn="0"/>
              <w:rPr>
                <w:rFonts w:eastAsiaTheme="minorHAnsi" w:cs="Arial"/>
                <w:b w:val="0"/>
                <w:szCs w:val="20"/>
              </w:rPr>
            </w:pPr>
            <w:r w:rsidRPr="00AC5514">
              <w:rPr>
                <w:rFonts w:eastAsiaTheme="minorHAnsi" w:cs="Arial"/>
                <w:b w:val="0"/>
                <w:szCs w:val="20"/>
              </w:rPr>
              <w:t>(a) complicated by:</w:t>
            </w:r>
          </w:p>
          <w:p w:rsidR="00AC5514" w:rsidRPr="00AC5514" w:rsidRDefault="00AC5514" w:rsidP="00AC5514">
            <w:pPr>
              <w:autoSpaceDE w:val="0"/>
              <w:autoSpaceDN w:val="0"/>
              <w:adjustRightInd w:val="0"/>
              <w:spacing w:line="240" w:lineRule="auto"/>
              <w:ind w:left="1440"/>
              <w:cnfStyle w:val="100000000000" w:firstRow="1" w:lastRow="0" w:firstColumn="0" w:lastColumn="0" w:oddVBand="0" w:evenVBand="0" w:oddHBand="0" w:evenHBand="0" w:firstRowFirstColumn="0" w:firstRowLastColumn="0" w:lastRowFirstColumn="0" w:lastRowLastColumn="0"/>
              <w:rPr>
                <w:rFonts w:eastAsiaTheme="minorHAnsi" w:cs="Arial"/>
                <w:b w:val="0"/>
                <w:szCs w:val="20"/>
              </w:rPr>
            </w:pPr>
            <w:r w:rsidRPr="00AC5514">
              <w:rPr>
                <w:rFonts w:eastAsiaTheme="minorHAnsi" w:cs="Arial"/>
                <w:b w:val="0"/>
                <w:szCs w:val="20"/>
              </w:rPr>
              <w:t>(</w:t>
            </w:r>
            <w:proofErr w:type="spellStart"/>
            <w:r w:rsidRPr="00AC5514">
              <w:rPr>
                <w:rFonts w:eastAsiaTheme="minorHAnsi" w:cs="Arial"/>
                <w:b w:val="0"/>
                <w:szCs w:val="20"/>
              </w:rPr>
              <w:t>i</w:t>
            </w:r>
            <w:proofErr w:type="spellEnd"/>
            <w:r w:rsidRPr="00AC5514">
              <w:rPr>
                <w:rFonts w:eastAsiaTheme="minorHAnsi" w:cs="Arial"/>
                <w:b w:val="0"/>
                <w:szCs w:val="20"/>
              </w:rPr>
              <w:t>) previous radiation therapy (including brachytherapy) on the prostate; or</w:t>
            </w:r>
          </w:p>
          <w:p w:rsidR="00AC5514" w:rsidRPr="00AC5514" w:rsidRDefault="00AC5514" w:rsidP="00AC5514">
            <w:pPr>
              <w:autoSpaceDE w:val="0"/>
              <w:autoSpaceDN w:val="0"/>
              <w:adjustRightInd w:val="0"/>
              <w:spacing w:line="240" w:lineRule="auto"/>
              <w:ind w:left="1440"/>
              <w:cnfStyle w:val="100000000000" w:firstRow="1" w:lastRow="0" w:firstColumn="0" w:lastColumn="0" w:oddVBand="0" w:evenVBand="0" w:oddHBand="0" w:evenHBand="0" w:firstRowFirstColumn="0" w:firstRowLastColumn="0" w:lastRowFirstColumn="0" w:lastRowLastColumn="0"/>
              <w:rPr>
                <w:rFonts w:eastAsiaTheme="minorHAnsi" w:cs="Arial"/>
                <w:b w:val="0"/>
                <w:szCs w:val="20"/>
              </w:rPr>
            </w:pPr>
            <w:r w:rsidRPr="00AC5514">
              <w:rPr>
                <w:rFonts w:eastAsiaTheme="minorHAnsi" w:cs="Arial"/>
                <w:b w:val="0"/>
                <w:szCs w:val="20"/>
              </w:rPr>
              <w:t>(ii) previous ablative procedures on the prostate; and</w:t>
            </w:r>
          </w:p>
          <w:p w:rsidR="00AC5514" w:rsidRPr="00AC5514" w:rsidRDefault="00AC5514" w:rsidP="00AC5514">
            <w:pPr>
              <w:autoSpaceDE w:val="0"/>
              <w:autoSpaceDN w:val="0"/>
              <w:adjustRightInd w:val="0"/>
              <w:spacing w:line="240" w:lineRule="auto"/>
              <w:ind w:left="720"/>
              <w:cnfStyle w:val="100000000000" w:firstRow="1" w:lastRow="0" w:firstColumn="0" w:lastColumn="0" w:oddVBand="0" w:evenVBand="0" w:oddHBand="0" w:evenHBand="0" w:firstRowFirstColumn="0" w:firstRowLastColumn="0" w:lastRowFirstColumn="0" w:lastRowLastColumn="0"/>
              <w:rPr>
                <w:rFonts w:eastAsiaTheme="minorHAnsi" w:cs="Arial"/>
                <w:b w:val="0"/>
                <w:szCs w:val="20"/>
              </w:rPr>
            </w:pPr>
            <w:r w:rsidRPr="00AC5514">
              <w:rPr>
                <w:rFonts w:eastAsiaTheme="minorHAnsi" w:cs="Arial"/>
                <w:b w:val="0"/>
                <w:szCs w:val="20"/>
              </w:rPr>
              <w:t>(b) with bladder neck reconstruction;</w:t>
            </w:r>
          </w:p>
          <w:p w:rsidR="00E401A9" w:rsidRPr="003D7FEE" w:rsidRDefault="00AC5514" w:rsidP="00AC5514">
            <w:pPr>
              <w:autoSpaceDE w:val="0"/>
              <w:autoSpaceDN w:val="0"/>
              <w:adjustRightInd w:val="0"/>
              <w:spacing w:line="240" w:lineRule="auto"/>
              <w:cnfStyle w:val="100000000000" w:firstRow="1" w:lastRow="0" w:firstColumn="0" w:lastColumn="0" w:oddVBand="0" w:evenVBand="0" w:oddHBand="0" w:evenHBand="0" w:firstRowFirstColumn="0" w:firstRowLastColumn="0" w:lastRowFirstColumn="0" w:lastRowLastColumn="0"/>
              <w:rPr>
                <w:rFonts w:eastAsiaTheme="minorHAnsi" w:cs="Arial"/>
                <w:b w:val="0"/>
                <w:szCs w:val="20"/>
              </w:rPr>
            </w:pPr>
            <w:proofErr w:type="gramStart"/>
            <w:r w:rsidRPr="00AC5514">
              <w:rPr>
                <w:rFonts w:eastAsiaTheme="minorHAnsi" w:cs="Arial"/>
                <w:b w:val="0"/>
                <w:szCs w:val="20"/>
              </w:rPr>
              <w:t>other</w:t>
            </w:r>
            <w:proofErr w:type="gramEnd"/>
            <w:r w:rsidRPr="00AC5514">
              <w:rPr>
                <w:rFonts w:eastAsiaTheme="minorHAnsi" w:cs="Arial"/>
                <w:b w:val="0"/>
                <w:szCs w:val="20"/>
              </w:rPr>
              <w:t xml:space="preserve"> than a service associated with a service to which item 30390, 30627, 35551, 36502 or 37375 applies </w:t>
            </w:r>
            <w:r w:rsidR="00E401A9" w:rsidRPr="003D7FEE">
              <w:rPr>
                <w:rFonts w:eastAsiaTheme="minorHAnsi" w:cs="Arial"/>
                <w:b w:val="0"/>
                <w:szCs w:val="20"/>
              </w:rPr>
              <w:t xml:space="preserve">(Anaes.) (Assist.) </w:t>
            </w:r>
          </w:p>
          <w:p w:rsidR="00775C2F" w:rsidRPr="003D7FEE" w:rsidRDefault="00485ECF" w:rsidP="00AC5514">
            <w:pPr>
              <w:spacing w:before="240"/>
              <w:cnfStyle w:val="100000000000" w:firstRow="1" w:lastRow="0" w:firstColumn="0" w:lastColumn="0" w:oddVBand="0" w:evenVBand="0" w:oddHBand="0" w:evenHBand="0" w:firstRowFirstColumn="0" w:firstRowLastColumn="0" w:lastRowFirstColumn="0" w:lastRowLastColumn="0"/>
              <w:rPr>
                <w:rFonts w:cs="Arial"/>
                <w:szCs w:val="20"/>
              </w:rPr>
            </w:pPr>
            <w:r w:rsidRPr="00177179">
              <w:rPr>
                <w:rFonts w:cs="Arial"/>
                <w:szCs w:val="20"/>
              </w:rPr>
              <w:t>Fee:</w:t>
            </w:r>
            <w:r w:rsidRPr="003D7FEE">
              <w:rPr>
                <w:rFonts w:cs="Arial"/>
                <w:b w:val="0"/>
                <w:szCs w:val="20"/>
              </w:rPr>
              <w:t xml:space="preserve"> </w:t>
            </w:r>
            <w:r w:rsidR="00AC5514" w:rsidRPr="00AC5514">
              <w:rPr>
                <w:rFonts w:cs="Arial"/>
                <w:b w:val="0"/>
                <w:szCs w:val="20"/>
              </w:rPr>
              <w:t xml:space="preserve">$2,464.65   </w:t>
            </w:r>
            <w:r w:rsidR="00AC5514" w:rsidRPr="00177179">
              <w:rPr>
                <w:rFonts w:cs="Arial"/>
                <w:szCs w:val="20"/>
              </w:rPr>
              <w:t>Benefit:</w:t>
            </w:r>
            <w:r w:rsidR="00AC5514" w:rsidRPr="00AC5514">
              <w:rPr>
                <w:rFonts w:cs="Arial"/>
                <w:b w:val="0"/>
                <w:szCs w:val="20"/>
              </w:rPr>
              <w:t xml:space="preserve"> 75% = $1,848.50</w:t>
            </w:r>
          </w:p>
        </w:tc>
      </w:tr>
      <w:tr w:rsidR="003C353F" w:rsidTr="00BE1A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Pr>
          <w:p w:rsidR="003C353F" w:rsidRPr="003D7FEE" w:rsidRDefault="003C353F" w:rsidP="00E401A9">
            <w:pPr>
              <w:rPr>
                <w:rFonts w:cs="Arial"/>
                <w:szCs w:val="20"/>
              </w:rPr>
            </w:pPr>
            <w:r w:rsidRPr="003D7FEE">
              <w:rPr>
                <w:rFonts w:cs="Arial"/>
                <w:szCs w:val="20"/>
              </w:rPr>
              <w:t xml:space="preserve">37214 item descriptor </w:t>
            </w:r>
          </w:p>
        </w:tc>
        <w:tc>
          <w:tcPr>
            <w:tcW w:w="7904" w:type="dxa"/>
          </w:tcPr>
          <w:p w:rsidR="00AC5514" w:rsidRPr="00AC5514" w:rsidRDefault="00AC5514" w:rsidP="00AC5514">
            <w:pPr>
              <w:autoSpaceDE w:val="0"/>
              <w:autoSpaceDN w:val="0"/>
              <w:adjustRightInd w:val="0"/>
              <w:spacing w:before="120" w:line="240" w:lineRule="auto"/>
              <w:cnfStyle w:val="000000100000" w:firstRow="0" w:lastRow="0" w:firstColumn="0" w:lastColumn="0" w:oddVBand="0" w:evenVBand="0" w:oddHBand="1" w:evenHBand="0" w:firstRowFirstColumn="0" w:firstRowLastColumn="0" w:lastRowFirstColumn="0" w:lastRowLastColumn="0"/>
              <w:rPr>
                <w:rFonts w:eastAsiaTheme="minorHAnsi" w:cs="Arial"/>
                <w:szCs w:val="20"/>
              </w:rPr>
            </w:pPr>
            <w:r w:rsidRPr="00AC5514">
              <w:rPr>
                <w:rFonts w:eastAsiaTheme="minorHAnsi" w:cs="Arial"/>
                <w:szCs w:val="20"/>
              </w:rPr>
              <w:t>Prostatectomy, radical, involving total excision of the prostate, sparing of nerves around the prostate (where clinically indicated):</w:t>
            </w:r>
          </w:p>
          <w:p w:rsidR="00AC5514" w:rsidRPr="00AC5514" w:rsidRDefault="00AC5514" w:rsidP="00AC5514">
            <w:pPr>
              <w:autoSpaceDE w:val="0"/>
              <w:autoSpaceDN w:val="0"/>
              <w:adjustRightInd w:val="0"/>
              <w:spacing w:line="240" w:lineRule="auto"/>
              <w:ind w:left="720"/>
              <w:cnfStyle w:val="000000100000" w:firstRow="0" w:lastRow="0" w:firstColumn="0" w:lastColumn="0" w:oddVBand="0" w:evenVBand="0" w:oddHBand="1" w:evenHBand="0" w:firstRowFirstColumn="0" w:firstRowLastColumn="0" w:lastRowFirstColumn="0" w:lastRowLastColumn="0"/>
              <w:rPr>
                <w:rFonts w:eastAsiaTheme="minorHAnsi" w:cs="Arial"/>
                <w:szCs w:val="20"/>
              </w:rPr>
            </w:pPr>
            <w:r w:rsidRPr="00AC5514">
              <w:rPr>
                <w:rFonts w:eastAsiaTheme="minorHAnsi" w:cs="Arial"/>
                <w:szCs w:val="20"/>
              </w:rPr>
              <w:t>(a) complicated by:</w:t>
            </w:r>
          </w:p>
          <w:p w:rsidR="00AC5514" w:rsidRPr="00AC5514" w:rsidRDefault="00AC5514" w:rsidP="00AC5514">
            <w:pPr>
              <w:autoSpaceDE w:val="0"/>
              <w:autoSpaceDN w:val="0"/>
              <w:adjustRightInd w:val="0"/>
              <w:spacing w:line="240" w:lineRule="auto"/>
              <w:ind w:left="1440"/>
              <w:cnfStyle w:val="000000100000" w:firstRow="0" w:lastRow="0" w:firstColumn="0" w:lastColumn="0" w:oddVBand="0" w:evenVBand="0" w:oddHBand="1" w:evenHBand="0" w:firstRowFirstColumn="0" w:firstRowLastColumn="0" w:lastRowFirstColumn="0" w:lastRowLastColumn="0"/>
              <w:rPr>
                <w:rFonts w:eastAsiaTheme="minorHAnsi" w:cs="Arial"/>
                <w:szCs w:val="20"/>
              </w:rPr>
            </w:pPr>
            <w:r w:rsidRPr="00AC5514">
              <w:rPr>
                <w:rFonts w:eastAsiaTheme="minorHAnsi" w:cs="Arial"/>
                <w:szCs w:val="20"/>
              </w:rPr>
              <w:t>(</w:t>
            </w:r>
            <w:proofErr w:type="spellStart"/>
            <w:r w:rsidRPr="00AC5514">
              <w:rPr>
                <w:rFonts w:eastAsiaTheme="minorHAnsi" w:cs="Arial"/>
                <w:szCs w:val="20"/>
              </w:rPr>
              <w:t>i</w:t>
            </w:r>
            <w:proofErr w:type="spellEnd"/>
            <w:r w:rsidRPr="00AC5514">
              <w:rPr>
                <w:rFonts w:eastAsiaTheme="minorHAnsi" w:cs="Arial"/>
                <w:szCs w:val="20"/>
              </w:rPr>
              <w:t>) previous radiation therapy (including brachytherapy) on the prostate; or</w:t>
            </w:r>
          </w:p>
          <w:p w:rsidR="00AC5514" w:rsidRPr="00AC5514" w:rsidRDefault="00AC5514" w:rsidP="00AC5514">
            <w:pPr>
              <w:autoSpaceDE w:val="0"/>
              <w:autoSpaceDN w:val="0"/>
              <w:adjustRightInd w:val="0"/>
              <w:spacing w:line="240" w:lineRule="auto"/>
              <w:ind w:left="1440"/>
              <w:cnfStyle w:val="000000100000" w:firstRow="0" w:lastRow="0" w:firstColumn="0" w:lastColumn="0" w:oddVBand="0" w:evenVBand="0" w:oddHBand="1" w:evenHBand="0" w:firstRowFirstColumn="0" w:firstRowLastColumn="0" w:lastRowFirstColumn="0" w:lastRowLastColumn="0"/>
              <w:rPr>
                <w:rFonts w:eastAsiaTheme="minorHAnsi" w:cs="Arial"/>
                <w:szCs w:val="20"/>
              </w:rPr>
            </w:pPr>
            <w:r w:rsidRPr="00AC5514">
              <w:rPr>
                <w:rFonts w:eastAsiaTheme="minorHAnsi" w:cs="Arial"/>
                <w:szCs w:val="20"/>
              </w:rPr>
              <w:t>(ii) previous ablative procedures on the prostate; and</w:t>
            </w:r>
          </w:p>
          <w:p w:rsidR="00AC5514" w:rsidRPr="00AC5514" w:rsidRDefault="00AC5514" w:rsidP="00AC5514">
            <w:pPr>
              <w:autoSpaceDE w:val="0"/>
              <w:autoSpaceDN w:val="0"/>
              <w:adjustRightInd w:val="0"/>
              <w:spacing w:line="240" w:lineRule="auto"/>
              <w:ind w:left="720"/>
              <w:cnfStyle w:val="000000100000" w:firstRow="0" w:lastRow="0" w:firstColumn="0" w:lastColumn="0" w:oddVBand="0" w:evenVBand="0" w:oddHBand="1" w:evenHBand="0" w:firstRowFirstColumn="0" w:firstRowLastColumn="0" w:lastRowFirstColumn="0" w:lastRowLastColumn="0"/>
              <w:rPr>
                <w:rFonts w:eastAsiaTheme="minorHAnsi" w:cs="Arial"/>
                <w:szCs w:val="20"/>
              </w:rPr>
            </w:pPr>
            <w:r w:rsidRPr="00AC5514">
              <w:rPr>
                <w:rFonts w:eastAsiaTheme="minorHAnsi" w:cs="Arial"/>
                <w:szCs w:val="20"/>
              </w:rPr>
              <w:t>(b) with bladder neck reconstruction and pelvic lymphadenectomy;</w:t>
            </w:r>
          </w:p>
          <w:p w:rsidR="003C353F" w:rsidRPr="003D7FEE" w:rsidRDefault="00AC5514" w:rsidP="00AC5514">
            <w:pPr>
              <w:autoSpaceDE w:val="0"/>
              <w:autoSpaceDN w:val="0"/>
              <w:adjustRightInd w:val="0"/>
              <w:spacing w:line="240" w:lineRule="auto"/>
              <w:cnfStyle w:val="000000100000" w:firstRow="0" w:lastRow="0" w:firstColumn="0" w:lastColumn="0" w:oddVBand="0" w:evenVBand="0" w:oddHBand="1" w:evenHBand="0" w:firstRowFirstColumn="0" w:firstRowLastColumn="0" w:lastRowFirstColumn="0" w:lastRowLastColumn="0"/>
              <w:rPr>
                <w:rFonts w:eastAsiaTheme="minorHAnsi" w:cs="Arial"/>
                <w:szCs w:val="20"/>
              </w:rPr>
            </w:pPr>
            <w:proofErr w:type="gramStart"/>
            <w:r w:rsidRPr="00AC5514">
              <w:rPr>
                <w:rFonts w:eastAsiaTheme="minorHAnsi" w:cs="Arial"/>
                <w:szCs w:val="20"/>
              </w:rPr>
              <w:t>other</w:t>
            </w:r>
            <w:proofErr w:type="gramEnd"/>
            <w:r w:rsidRPr="00AC5514">
              <w:rPr>
                <w:rFonts w:eastAsiaTheme="minorHAnsi" w:cs="Arial"/>
                <w:szCs w:val="20"/>
              </w:rPr>
              <w:t xml:space="preserve"> than a service associated with a service to which item 30390, 30627, 35551, 36502 or 37375 applies </w:t>
            </w:r>
            <w:r w:rsidR="003C353F" w:rsidRPr="003D7FEE">
              <w:rPr>
                <w:rFonts w:eastAsiaTheme="minorHAnsi" w:cs="Arial"/>
                <w:szCs w:val="20"/>
              </w:rPr>
              <w:t xml:space="preserve">(Anaes.) (Assist.) </w:t>
            </w:r>
          </w:p>
          <w:p w:rsidR="003C353F" w:rsidRPr="003D7FEE" w:rsidRDefault="003C353F" w:rsidP="00AC5514">
            <w:pPr>
              <w:autoSpaceDE w:val="0"/>
              <w:autoSpaceDN w:val="0"/>
              <w:adjustRightInd w:val="0"/>
              <w:spacing w:before="240" w:line="240" w:lineRule="auto"/>
              <w:cnfStyle w:val="000000100000" w:firstRow="0" w:lastRow="0" w:firstColumn="0" w:lastColumn="0" w:oddVBand="0" w:evenVBand="0" w:oddHBand="1" w:evenHBand="0" w:firstRowFirstColumn="0" w:firstRowLastColumn="0" w:lastRowFirstColumn="0" w:lastRowLastColumn="0"/>
              <w:rPr>
                <w:rFonts w:eastAsiaTheme="minorHAnsi" w:cs="Arial"/>
                <w:b/>
                <w:szCs w:val="20"/>
              </w:rPr>
            </w:pPr>
            <w:r w:rsidRPr="00177179">
              <w:rPr>
                <w:rFonts w:eastAsiaTheme="minorHAnsi" w:cs="Arial"/>
                <w:b/>
                <w:szCs w:val="20"/>
              </w:rPr>
              <w:t>Fee:</w:t>
            </w:r>
            <w:r w:rsidRPr="003D7FEE">
              <w:rPr>
                <w:rFonts w:eastAsiaTheme="minorHAnsi" w:cs="Arial"/>
                <w:szCs w:val="20"/>
              </w:rPr>
              <w:t xml:space="preserve"> </w:t>
            </w:r>
            <w:r w:rsidR="00AC5514" w:rsidRPr="00AC5514">
              <w:rPr>
                <w:rFonts w:eastAsiaTheme="minorHAnsi" w:cs="Arial"/>
                <w:szCs w:val="20"/>
              </w:rPr>
              <w:t xml:space="preserve">$2,993.70  </w:t>
            </w:r>
            <w:r w:rsidR="00AC5514">
              <w:rPr>
                <w:rFonts w:eastAsiaTheme="minorHAnsi" w:cs="Arial"/>
                <w:szCs w:val="20"/>
              </w:rPr>
              <w:t xml:space="preserve">  </w:t>
            </w:r>
            <w:r w:rsidR="00AC5514" w:rsidRPr="00177179">
              <w:rPr>
                <w:rFonts w:eastAsiaTheme="minorHAnsi" w:cs="Arial"/>
                <w:b/>
                <w:szCs w:val="20"/>
              </w:rPr>
              <w:t>Benefit:</w:t>
            </w:r>
            <w:r w:rsidR="00AC5514" w:rsidRPr="00AC5514">
              <w:rPr>
                <w:rFonts w:eastAsiaTheme="minorHAnsi" w:cs="Arial"/>
                <w:szCs w:val="20"/>
              </w:rPr>
              <w:t xml:space="preserve"> 75% = $2,245.30</w:t>
            </w:r>
          </w:p>
        </w:tc>
      </w:tr>
      <w:tr w:rsidR="00775C2F" w:rsidTr="00BE1A34">
        <w:tc>
          <w:tcPr>
            <w:cnfStyle w:val="001000000000" w:firstRow="0" w:lastRow="0" w:firstColumn="1" w:lastColumn="0" w:oddVBand="0" w:evenVBand="0" w:oddHBand="0" w:evenHBand="0" w:firstRowFirstColumn="0" w:firstRowLastColumn="0" w:lastRowFirstColumn="0" w:lastRowLastColumn="0"/>
            <w:tcW w:w="2552" w:type="dxa"/>
          </w:tcPr>
          <w:p w:rsidR="00485ECF" w:rsidRPr="003D7FEE" w:rsidRDefault="00FE341F" w:rsidP="00FE341F">
            <w:pPr>
              <w:rPr>
                <w:rFonts w:cs="Arial"/>
                <w:szCs w:val="20"/>
              </w:rPr>
            </w:pPr>
            <w:r>
              <w:rPr>
                <w:rFonts w:cs="Arial"/>
                <w:szCs w:val="20"/>
              </w:rPr>
              <w:t>E</w:t>
            </w:r>
            <w:r w:rsidR="00485ECF" w:rsidRPr="003D7FEE">
              <w:rPr>
                <w:rFonts w:cs="Arial"/>
                <w:szCs w:val="20"/>
              </w:rPr>
              <w:t>xplanatory note</w:t>
            </w:r>
            <w:r>
              <w:rPr>
                <w:rFonts w:cs="Arial"/>
                <w:szCs w:val="20"/>
              </w:rPr>
              <w:t xml:space="preserve"> TN.8.161</w:t>
            </w:r>
          </w:p>
        </w:tc>
        <w:tc>
          <w:tcPr>
            <w:tcW w:w="7904" w:type="dxa"/>
          </w:tcPr>
          <w:p w:rsidR="00FE341F" w:rsidRPr="00FE341F" w:rsidRDefault="00FE341F" w:rsidP="00AC5514">
            <w:pPr>
              <w:autoSpaceDE w:val="0"/>
              <w:autoSpaceDN w:val="0"/>
              <w:adjustRightInd w:val="0"/>
              <w:spacing w:before="120" w:line="240" w:lineRule="auto"/>
              <w:cnfStyle w:val="000000000000" w:firstRow="0" w:lastRow="0" w:firstColumn="0" w:lastColumn="0" w:oddVBand="0" w:evenVBand="0" w:oddHBand="0" w:evenHBand="0" w:firstRowFirstColumn="0" w:firstRowLastColumn="0" w:lastRowFirstColumn="0" w:lastRowLastColumn="0"/>
              <w:rPr>
                <w:rFonts w:eastAsiaTheme="minorHAnsi" w:cs="Arial"/>
                <w:szCs w:val="20"/>
              </w:rPr>
            </w:pPr>
            <w:r w:rsidRPr="00FE341F">
              <w:rPr>
                <w:rFonts w:eastAsiaTheme="minorHAnsi" w:cs="Arial"/>
                <w:szCs w:val="20"/>
              </w:rPr>
              <w:t>Best practice prior to claiming for a 37210, 37211, 37213 and 37214 would be for the operating surgeon to have a long consult with the patient within 6 months prior to surgery to discuss and provide patients with written information about all guideline-endorsed treatment options for their condition. A thorough consult discussing all available treatment modalities, is required to ensure patients make well-informed decision about their treatment.</w:t>
            </w:r>
          </w:p>
          <w:p w:rsidR="00FE341F" w:rsidRDefault="00FE341F" w:rsidP="00FE341F">
            <w:pPr>
              <w:autoSpaceDE w:val="0"/>
              <w:autoSpaceDN w:val="0"/>
              <w:adjustRightInd w:val="0"/>
              <w:spacing w:line="240" w:lineRule="auto"/>
              <w:cnfStyle w:val="000000000000" w:firstRow="0" w:lastRow="0" w:firstColumn="0" w:lastColumn="0" w:oddVBand="0" w:evenVBand="0" w:oddHBand="0" w:evenHBand="0" w:firstRowFirstColumn="0" w:firstRowLastColumn="0" w:lastRowFirstColumn="0" w:lastRowLastColumn="0"/>
              <w:rPr>
                <w:rFonts w:eastAsiaTheme="minorHAnsi" w:cs="Arial"/>
                <w:szCs w:val="20"/>
              </w:rPr>
            </w:pPr>
          </w:p>
          <w:p w:rsidR="00FE341F" w:rsidRPr="00FE341F" w:rsidRDefault="00FE341F" w:rsidP="00FE341F">
            <w:pPr>
              <w:autoSpaceDE w:val="0"/>
              <w:autoSpaceDN w:val="0"/>
              <w:adjustRightInd w:val="0"/>
              <w:spacing w:line="240" w:lineRule="auto"/>
              <w:cnfStyle w:val="000000000000" w:firstRow="0" w:lastRow="0" w:firstColumn="0" w:lastColumn="0" w:oddVBand="0" w:evenVBand="0" w:oddHBand="0" w:evenHBand="0" w:firstRowFirstColumn="0" w:firstRowLastColumn="0" w:lastRowFirstColumn="0" w:lastRowLastColumn="0"/>
              <w:rPr>
                <w:rFonts w:eastAsiaTheme="minorHAnsi" w:cs="Arial"/>
                <w:szCs w:val="20"/>
              </w:rPr>
            </w:pPr>
            <w:r w:rsidRPr="00FE341F">
              <w:rPr>
                <w:rFonts w:eastAsiaTheme="minorHAnsi" w:cs="Arial"/>
                <w:szCs w:val="20"/>
              </w:rPr>
              <w:t>Multi-disciplinary management constitutes clinical best practice in patients with intermediate risk or advanced prostate cancer. As such, patients should ideally be reviewed by a multi-disciplinary team before a treatment decision is made. Multi-disciplinary teams involve radiation oncologists (for alternate radical treatments), medical oncologists (for adjuvant or therapeutic approaches) and other disciplines (e.g. urology nurses, exercise physiotherapists, exercise physiologists, physiotherapists, psychologists, pathologists, radiologists). Recommendations from multi-disciplinary reviews should be documented in writing and provided to the patient and referring GP.</w:t>
            </w:r>
          </w:p>
          <w:p w:rsidR="00FE341F" w:rsidRDefault="00FE341F" w:rsidP="00FE341F">
            <w:pPr>
              <w:autoSpaceDE w:val="0"/>
              <w:autoSpaceDN w:val="0"/>
              <w:adjustRightInd w:val="0"/>
              <w:spacing w:line="240" w:lineRule="auto"/>
              <w:cnfStyle w:val="000000000000" w:firstRow="0" w:lastRow="0" w:firstColumn="0" w:lastColumn="0" w:oddVBand="0" w:evenVBand="0" w:oddHBand="0" w:evenHBand="0" w:firstRowFirstColumn="0" w:firstRowLastColumn="0" w:lastRowFirstColumn="0" w:lastRowLastColumn="0"/>
              <w:rPr>
                <w:rFonts w:eastAsiaTheme="minorHAnsi" w:cs="Arial"/>
                <w:szCs w:val="20"/>
              </w:rPr>
            </w:pPr>
          </w:p>
          <w:p w:rsidR="00775C2F" w:rsidRPr="003D7FEE" w:rsidRDefault="00FE341F" w:rsidP="00FE341F">
            <w:pPr>
              <w:autoSpaceDE w:val="0"/>
              <w:autoSpaceDN w:val="0"/>
              <w:adjustRightInd w:val="0"/>
              <w:spacing w:line="240" w:lineRule="auto"/>
              <w:cnfStyle w:val="000000000000" w:firstRow="0" w:lastRow="0" w:firstColumn="0" w:lastColumn="0" w:oddVBand="0" w:evenVBand="0" w:oddHBand="0" w:evenHBand="0" w:firstRowFirstColumn="0" w:firstRowLastColumn="0" w:lastRowFirstColumn="0" w:lastRowLastColumn="0"/>
              <w:rPr>
                <w:rFonts w:eastAsiaTheme="minorHAnsi" w:cs="Arial"/>
                <w:szCs w:val="20"/>
              </w:rPr>
            </w:pPr>
            <w:r w:rsidRPr="00FE341F">
              <w:rPr>
                <w:rFonts w:eastAsiaTheme="minorHAnsi" w:cs="Arial"/>
                <w:szCs w:val="20"/>
              </w:rPr>
              <w:t xml:space="preserve">Men in whom curative treatment for prostate cancer is recommended, should be offered and encouraged to discuss treatment options with </w:t>
            </w:r>
            <w:r w:rsidR="00A46FEE">
              <w:rPr>
                <w:rFonts w:eastAsiaTheme="minorHAnsi" w:cs="Arial"/>
                <w:szCs w:val="20"/>
              </w:rPr>
              <w:t>an</w:t>
            </w:r>
            <w:r w:rsidRPr="00FE341F">
              <w:rPr>
                <w:rFonts w:eastAsiaTheme="minorHAnsi" w:cs="Arial"/>
                <w:szCs w:val="20"/>
              </w:rPr>
              <w:t xml:space="preserve"> urologist and a radiation oncologist prior to any treatment, as part of fully informed decision making. A record of a patient’s decision not to accept a referral to a radiation oncologist (from the urologist or general practitioner) should be clearly documented in the patient’s medical record.</w:t>
            </w:r>
          </w:p>
        </w:tc>
      </w:tr>
    </w:tbl>
    <w:p w:rsidR="00656F11" w:rsidRPr="00F50994" w:rsidRDefault="00656F11" w:rsidP="005E1472">
      <w:pPr>
        <w:rPr>
          <w:szCs w:val="20"/>
        </w:rPr>
      </w:pPr>
    </w:p>
    <w:sectPr w:rsidR="00656F11" w:rsidRPr="00F50994" w:rsidSect="003E6457">
      <w:type w:val="continuous"/>
      <w:pgSz w:w="11906" w:h="16838"/>
      <w:pgMar w:top="3261"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62CB" w:rsidRDefault="00F862CB" w:rsidP="006D1088">
      <w:pPr>
        <w:spacing w:after="0" w:line="240" w:lineRule="auto"/>
      </w:pPr>
      <w:r>
        <w:separator/>
      </w:r>
    </w:p>
  </w:endnote>
  <w:endnote w:type="continuationSeparator" w:id="0">
    <w:p w:rsidR="00F862CB" w:rsidRDefault="00F862CB" w:rsidP="006D10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otham Book">
    <w:panose1 w:val="00000000000000000000"/>
    <w:charset w:val="00"/>
    <w:family w:val="modern"/>
    <w:notTrueType/>
    <w:pitch w:val="variable"/>
    <w:sig w:usb0="A10000FF" w:usb1="4000005B" w:usb2="00000000" w:usb3="00000000" w:csb0="0000009B"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7B84" w:rsidRDefault="008A7B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32BA" w:rsidRDefault="00D377C4" w:rsidP="009B32BA">
    <w:pPr>
      <w:pStyle w:val="Footer"/>
    </w:pPr>
    <w:r>
      <w:rPr>
        <w:rStyle w:val="BookTitle"/>
        <w:noProof/>
      </w:rPr>
      <w:pict w14:anchorId="5B303B60">
        <v:rect id="_x0000_i1025" style="width:523.3pt;height:1.9pt" o:hralign="center" o:hrstd="t" o:hr="t" fillcolor="#a0a0a0" stroked="f"/>
      </w:pict>
    </w:r>
    <w:r w:rsidR="009B32BA">
      <w:t>Medicare Benefits Schedule</w:t>
    </w:r>
  </w:p>
  <w:p w:rsidR="009B32BA" w:rsidRDefault="00680076" w:rsidP="009B32BA">
    <w:pPr>
      <w:pStyle w:val="Footer"/>
      <w:tabs>
        <w:tab w:val="clear" w:pos="9026"/>
        <w:tab w:val="right" w:pos="10466"/>
      </w:tabs>
    </w:pPr>
    <w:r>
      <w:rPr>
        <w:b/>
      </w:rPr>
      <w:t xml:space="preserve">New items for </w:t>
    </w:r>
    <w:r w:rsidR="00560A42">
      <w:rPr>
        <w:b/>
      </w:rPr>
      <w:t>radical prostatectomy</w:t>
    </w:r>
    <w:r w:rsidR="009B32BA" w:rsidRPr="00E863C4">
      <w:rPr>
        <w:b/>
      </w:rPr>
      <w:t xml:space="preserve"> – </w:t>
    </w:r>
    <w:r w:rsidR="009B32BA">
      <w:rPr>
        <w:b/>
      </w:rPr>
      <w:t>Factsheet</w:t>
    </w:r>
    <w:r w:rsidR="009B32BA" w:rsidRPr="00E863C4">
      <w:t xml:space="preserve"> </w:t>
    </w:r>
    <w:sdt>
      <w:sdtPr>
        <w:id w:val="960607005"/>
        <w:docPartObj>
          <w:docPartGallery w:val="Page Numbers (Bottom of Page)"/>
          <w:docPartUnique/>
        </w:docPartObj>
      </w:sdtPr>
      <w:sdtEndPr>
        <w:rPr>
          <w:noProof/>
        </w:rPr>
      </w:sdtEndPr>
      <w:sdtContent>
        <w:r w:rsidR="009B32BA">
          <w:tab/>
        </w:r>
        <w:r w:rsidR="009B32BA">
          <w:tab/>
        </w:r>
        <w:sdt>
          <w:sdtPr>
            <w:id w:val="-720741692"/>
            <w:docPartObj>
              <w:docPartGallery w:val="Page Numbers (Bottom of Page)"/>
              <w:docPartUnique/>
            </w:docPartObj>
          </w:sdtPr>
          <w:sdtEndPr/>
          <w:sdtContent>
            <w:sdt>
              <w:sdtPr>
                <w:id w:val="1701501531"/>
                <w:docPartObj>
                  <w:docPartGallery w:val="Page Numbers (Top of Page)"/>
                  <w:docPartUnique/>
                </w:docPartObj>
              </w:sdtPr>
              <w:sdtEndPr/>
              <w:sdtContent>
                <w:r w:rsidR="009B32BA" w:rsidRPr="00F546CA">
                  <w:t xml:space="preserve">Page </w:t>
                </w:r>
                <w:r w:rsidR="009B32BA" w:rsidRPr="00F546CA">
                  <w:rPr>
                    <w:bCs/>
                    <w:sz w:val="24"/>
                    <w:szCs w:val="24"/>
                  </w:rPr>
                  <w:fldChar w:fldCharType="begin"/>
                </w:r>
                <w:r w:rsidR="009B32BA" w:rsidRPr="00F546CA">
                  <w:rPr>
                    <w:bCs/>
                  </w:rPr>
                  <w:instrText xml:space="preserve"> PAGE </w:instrText>
                </w:r>
                <w:r w:rsidR="009B32BA" w:rsidRPr="00F546CA">
                  <w:rPr>
                    <w:bCs/>
                    <w:sz w:val="24"/>
                    <w:szCs w:val="24"/>
                  </w:rPr>
                  <w:fldChar w:fldCharType="separate"/>
                </w:r>
                <w:r w:rsidR="00D377C4">
                  <w:rPr>
                    <w:bCs/>
                    <w:noProof/>
                  </w:rPr>
                  <w:t>3</w:t>
                </w:r>
                <w:r w:rsidR="009B32BA" w:rsidRPr="00F546CA">
                  <w:rPr>
                    <w:bCs/>
                    <w:sz w:val="24"/>
                    <w:szCs w:val="24"/>
                  </w:rPr>
                  <w:fldChar w:fldCharType="end"/>
                </w:r>
                <w:r w:rsidR="009B32BA" w:rsidRPr="00F546CA">
                  <w:t xml:space="preserve"> of </w:t>
                </w:r>
                <w:r w:rsidR="009B32BA" w:rsidRPr="00F546CA">
                  <w:rPr>
                    <w:bCs/>
                    <w:sz w:val="24"/>
                    <w:szCs w:val="24"/>
                  </w:rPr>
                  <w:fldChar w:fldCharType="begin"/>
                </w:r>
                <w:r w:rsidR="009B32BA" w:rsidRPr="00F546CA">
                  <w:rPr>
                    <w:bCs/>
                  </w:rPr>
                  <w:instrText xml:space="preserve"> NUMPAGES  </w:instrText>
                </w:r>
                <w:r w:rsidR="009B32BA" w:rsidRPr="00F546CA">
                  <w:rPr>
                    <w:bCs/>
                    <w:sz w:val="24"/>
                    <w:szCs w:val="24"/>
                  </w:rPr>
                  <w:fldChar w:fldCharType="separate"/>
                </w:r>
                <w:r w:rsidR="00D377C4">
                  <w:rPr>
                    <w:bCs/>
                    <w:noProof/>
                  </w:rPr>
                  <w:t>4</w:t>
                </w:r>
                <w:r w:rsidR="009B32BA" w:rsidRPr="00F546CA">
                  <w:rPr>
                    <w:bCs/>
                    <w:sz w:val="24"/>
                    <w:szCs w:val="24"/>
                  </w:rPr>
                  <w:fldChar w:fldCharType="end"/>
                </w:r>
              </w:sdtContent>
            </w:sdt>
          </w:sdtContent>
        </w:sdt>
        <w:r w:rsidR="009B32BA">
          <w:t xml:space="preserve"> </w:t>
        </w:r>
      </w:sdtContent>
    </w:sdt>
  </w:p>
  <w:p w:rsidR="009B32BA" w:rsidRDefault="00D377C4" w:rsidP="00FF31CA">
    <w:pPr>
      <w:pStyle w:val="Footer"/>
      <w:tabs>
        <w:tab w:val="clear" w:pos="4513"/>
        <w:tab w:val="clear" w:pos="9026"/>
        <w:tab w:val="left" w:pos="1490"/>
      </w:tabs>
      <w:rPr>
        <w:rStyle w:val="Hyperlink"/>
        <w:szCs w:val="18"/>
      </w:rPr>
    </w:pPr>
    <w:hyperlink r:id="rId1" w:history="1">
      <w:r w:rsidR="009B32BA" w:rsidRPr="00E863C4">
        <w:rPr>
          <w:rStyle w:val="Hyperlink"/>
          <w:szCs w:val="18"/>
        </w:rPr>
        <w:t>MBS Online</w:t>
      </w:r>
    </w:hyperlink>
  </w:p>
  <w:p w:rsidR="00570B62" w:rsidRPr="009B32BA" w:rsidRDefault="00570B62">
    <w:pPr>
      <w:pStyle w:val="Footer"/>
      <w:rPr>
        <w:szCs w:val="18"/>
      </w:rPr>
    </w:pPr>
    <w:r w:rsidRPr="00870B05">
      <w:t>Last updated</w:t>
    </w:r>
    <w:r w:rsidR="00FF31CA">
      <w:t xml:space="preserve"> – </w:t>
    </w:r>
    <w:r w:rsidR="00E31003">
      <w:t>09</w:t>
    </w:r>
    <w:r w:rsidR="00084E3C">
      <w:t xml:space="preserve"> October</w:t>
    </w:r>
    <w:r w:rsidR="009E5618">
      <w:t xml:space="preserve"> </w:t>
    </w:r>
    <w:r w:rsidR="00683A00">
      <w:t>2020</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7B84" w:rsidRDefault="008A7B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62CB" w:rsidRDefault="00F862CB" w:rsidP="006D1088">
      <w:pPr>
        <w:spacing w:after="0" w:line="240" w:lineRule="auto"/>
      </w:pPr>
      <w:r>
        <w:separator/>
      </w:r>
    </w:p>
  </w:footnote>
  <w:footnote w:type="continuationSeparator" w:id="0">
    <w:p w:rsidR="00F862CB" w:rsidRDefault="00F862CB" w:rsidP="006D10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7B84" w:rsidRDefault="008A7B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1088" w:rsidRDefault="008553F7">
    <w:pPr>
      <w:pStyle w:val="Header"/>
    </w:pPr>
    <w:r w:rsidRPr="00113A85">
      <w:rPr>
        <w:noProof/>
        <w:lang w:eastAsia="en-AU"/>
      </w:rPr>
      <mc:AlternateContent>
        <mc:Choice Requires="wps">
          <w:drawing>
            <wp:anchor distT="0" distB="0" distL="114300" distR="114300" simplePos="0" relativeHeight="251657728" behindDoc="0" locked="0" layoutInCell="1" allowOverlap="1" wp14:anchorId="1AC14729" wp14:editId="220D85B8">
              <wp:simplePos x="0" y="0"/>
              <wp:positionH relativeFrom="column">
                <wp:align>right</wp:align>
              </wp:positionH>
              <wp:positionV relativeFrom="paragraph">
                <wp:posOffset>-288646</wp:posOffset>
              </wp:positionV>
              <wp:extent cx="2516400" cy="1285200"/>
              <wp:effectExtent l="0" t="0" r="0" b="0"/>
              <wp:wrapNone/>
              <wp:docPr id="6" name="Title 3">
                <a:extLst xmlns:a="http://schemas.openxmlformats.org/drawingml/2006/main"/>
              </wp:docPr>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2516400" cy="1285200"/>
                      </a:xfrm>
                      <a:prstGeom prst="rect">
                        <a:avLst/>
                      </a:prstGeom>
                    </wps:spPr>
                    <wps:txbx>
                      <w:txbxContent>
                        <w:p w:rsidR="008553F7" w:rsidRDefault="008553F7" w:rsidP="00420023">
                          <w:pPr>
                            <w:pStyle w:val="NormalWeb"/>
                            <w:spacing w:before="0" w:beforeAutospacing="0" w:after="0" w:afterAutospacing="0" w:line="600" w:lineRule="exact"/>
                            <w:jc w:val="right"/>
                          </w:pPr>
                          <w:r>
                            <w:rPr>
                              <w:rFonts w:asciiTheme="majorHAnsi" w:eastAsiaTheme="majorEastAsia" w:hAnsi="Arial" w:cstheme="majorBidi"/>
                              <w:b/>
                              <w:bCs/>
                              <w:color w:val="FFFFFF" w:themeColor="background1"/>
                              <w:kern w:val="24"/>
                              <w:position w:val="1"/>
                              <w:sz w:val="56"/>
                              <w:szCs w:val="56"/>
                              <w:lang w:val="en-US"/>
                            </w:rPr>
                            <w:t>MBS changes factsheet</w:t>
                          </w:r>
                        </w:p>
                      </w:txbxContent>
                    </wps:txbx>
                    <wps:bodyPr vert="horz" wrap="square" lIns="91440" tIns="45720" rIns="91440" bIns="45720" rtlCol="0" anchor="ctr">
                      <a:normAutofit/>
                    </wps:bodyPr>
                  </wps:wsp>
                </a:graphicData>
              </a:graphic>
              <wp14:sizeRelH relativeFrom="margin">
                <wp14:pctWidth>0</wp14:pctWidth>
              </wp14:sizeRelH>
              <wp14:sizeRelV relativeFrom="margin">
                <wp14:pctHeight>0</wp14:pctHeight>
              </wp14:sizeRelV>
            </wp:anchor>
          </w:drawing>
        </mc:Choice>
        <mc:Fallback>
          <w:pict>
            <v:rect w14:anchorId="1AC14729" id="Title 3" o:spid="_x0000_s1026" style="position:absolute;margin-left:146.95pt;margin-top:-22.75pt;width:198.15pt;height:101.2pt;z-index:251660288;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TTuyAEAAH8DAAAOAAAAZHJzL2Uyb0RvYy54bWysU9tu2zAMfR+wfxD0vviyJGuNOMWwYsWA&#10;YivQ7gMUWYqNWaJGKbGzrx8lO1nbvQ17EUiTOjqHh97cjKZnR4W+A1vzYpFzpqyEprP7mn9/+vzu&#10;ijMfhG1ED1bV/KQ8v9m+fbMZXKVKaKFvFDICsb4aXM3bEFyVZV62ygi/AKcsFTWgEYFS3GcNioHQ&#10;TZ+Veb7OBsDGIUjlPX29nYp8m/C1VjJ809qrwPqaE7eQTkznLp7ZdiOqPQrXdnKmIf6BhRGdpUcv&#10;ULciCHbA7i8o00kEDzosJJgMtO6kShpITZG/UvPYCqeSFhqOd5cx+f8HK78eH5B1Tc3XnFlhyKKn&#10;LvSKvU9y1BjufaAhZYPzVWqOo03ho3vAKNm7e5A/PLNwh+RgEWd6bp964gU/d48aTbxF0tmYfDhd&#10;fKDXmKSP5apYL3OyS1KtKK9W5HRCFdX5ukMf7hQYFoOaIxmdCIvjzFdU55aZzUQgUgnjbiSOMdxB&#10;cyL9tMAE0gL+4mygZai5/3kQqDjrv1ia9nWxXMbtScly9aGkBJ9Xdi8qof8E074JKwm15jJgomdp&#10;kT8eAujuMtSJwkySXKboxRo9z1PXn/9m+xsAAP//AwBQSwMEFAAGAAgAAAAhABRu2iffAAAACAEA&#10;AA8AAABkcnMvZG93bnJldi54bWxMj0FLw0AUhO+C/2F5ghdpN9ommphNqYIHwYupIN5es88kNLsb&#10;djdt+u99nvQ4zDDzTbmZzSCO5EPvrILbZQKCbON0b1sFH7uXxQOIENFqHJwlBWcKsKkuL0ostDvZ&#10;dzrWsRVcYkOBCroYx0LK0HRkMCzdSJa9b+cNRpa+ldrjicvNIO+SJJMGe8sLHY703FFzqCej4HB+&#10;M0/b9avb3c+ffjI3fY5ftVLXV/P2EUSkOf6F4Ref0aFipr2brA5iUMBHooLFOk1BsL3KsxWIPefS&#10;LAdZlfL/geoHAAD//wMAUEsBAi0AFAAGAAgAAAAhALaDOJL+AAAA4QEAABMAAAAAAAAAAAAAAAAA&#10;AAAAAFtDb250ZW50X1R5cGVzXS54bWxQSwECLQAUAAYACAAAACEAOP0h/9YAAACUAQAACwAAAAAA&#10;AAAAAAAAAAAvAQAAX3JlbHMvLnJlbHNQSwECLQAUAAYACAAAACEAWpU07sgBAAB/AwAADgAAAAAA&#10;AAAAAAAAAAAuAgAAZHJzL2Uyb0RvYy54bWxQSwECLQAUAAYACAAAACEAFG7aJ98AAAAIAQAADwAA&#10;AAAAAAAAAAAAAAAiBAAAZHJzL2Rvd25yZXYueG1sUEsFBgAAAAAEAAQA8wAAAC4FAAAAAA==&#10;" filled="f" stroked="f">
              <v:path arrowok="t"/>
              <o:lock v:ext="edit" grouping="t"/>
              <v:textbox>
                <w:txbxContent>
                  <w:p w:rsidR="008553F7" w:rsidRDefault="008553F7" w:rsidP="00420023">
                    <w:pPr>
                      <w:pStyle w:val="NormalWeb"/>
                      <w:spacing w:before="0" w:beforeAutospacing="0" w:after="0" w:afterAutospacing="0" w:line="600" w:lineRule="exact"/>
                      <w:jc w:val="right"/>
                    </w:pPr>
                    <w:r>
                      <w:rPr>
                        <w:rFonts w:asciiTheme="majorHAnsi" w:eastAsiaTheme="majorEastAsia" w:hAnsi="Arial" w:cstheme="majorBidi"/>
                        <w:b/>
                        <w:bCs/>
                        <w:color w:val="FFFFFF" w:themeColor="background1"/>
                        <w:kern w:val="24"/>
                        <w:position w:val="1"/>
                        <w:sz w:val="56"/>
                        <w:szCs w:val="56"/>
                        <w:lang w:val="en-US"/>
                      </w:rPr>
                      <w:t>MBS changes factsheet</w:t>
                    </w:r>
                  </w:p>
                </w:txbxContent>
              </v:textbox>
            </v:rect>
          </w:pict>
        </mc:Fallback>
      </mc:AlternateContent>
    </w:r>
    <w:r w:rsidR="006D1088" w:rsidRPr="006D1088">
      <w:rPr>
        <w:noProof/>
        <w:lang w:eastAsia="en-AU"/>
      </w:rPr>
      <w:drawing>
        <wp:anchor distT="0" distB="0" distL="114300" distR="114300" simplePos="0" relativeHeight="251656704" behindDoc="1" locked="0" layoutInCell="1" allowOverlap="1" wp14:anchorId="63F166A6" wp14:editId="1BC6BB98">
          <wp:simplePos x="0" y="0"/>
          <wp:positionH relativeFrom="page">
            <wp:align>left</wp:align>
          </wp:positionH>
          <wp:positionV relativeFrom="paragraph">
            <wp:posOffset>-449580</wp:posOffset>
          </wp:positionV>
          <wp:extent cx="7643250" cy="1611213"/>
          <wp:effectExtent l="0" t="0" r="0" b="825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643250" cy="1611213"/>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7B84" w:rsidRDefault="008A7B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F40455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B9EDF9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EFEBD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BC6C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8EEBC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D30A8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476A0B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3527A7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9CCE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C7A3C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E35A91"/>
    <w:multiLevelType w:val="hybridMultilevel"/>
    <w:tmpl w:val="51467464"/>
    <w:lvl w:ilvl="0" w:tplc="819E1B38">
      <w:start w:val="1"/>
      <w:numFmt w:val="bullet"/>
      <w:pStyle w:val="ListParagraph"/>
      <w:lvlText w:val=""/>
      <w:lvlJc w:val="left"/>
      <w:pPr>
        <w:ind w:left="360" w:hanging="360"/>
      </w:pPr>
      <w:rPr>
        <w:rFonts w:ascii="Symbol" w:hAnsi="Symbol" w:hint="default"/>
        <w:color w:val="789D4A" w:themeColor="accent2"/>
        <w:spacing w:val="0"/>
        <w:w w:val="100"/>
        <w:sz w:val="24"/>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53FD6286"/>
    <w:multiLevelType w:val="hybridMultilevel"/>
    <w:tmpl w:val="E7F438B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713A1908"/>
    <w:multiLevelType w:val="hybridMultilevel"/>
    <w:tmpl w:val="D66EDBA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0"/>
  </w:num>
  <w:num w:numId="2">
    <w:abstractNumId w:val="10"/>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1"/>
  </w:num>
  <w:num w:numId="14">
    <w:abstractNumId w:val="10"/>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hideSpellingErrors/>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20"/>
  <w:characterSpacingControl w:val="doNotCompress"/>
  <w:hdrShapeDefaults>
    <o:shapedefaults v:ext="edit" spidmax="5120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62CB"/>
    <w:rsid w:val="000024C6"/>
    <w:rsid w:val="000024E5"/>
    <w:rsid w:val="00002797"/>
    <w:rsid w:val="00002A25"/>
    <w:rsid w:val="000074DD"/>
    <w:rsid w:val="00011EC0"/>
    <w:rsid w:val="000261E7"/>
    <w:rsid w:val="00030B07"/>
    <w:rsid w:val="00031B4F"/>
    <w:rsid w:val="00036799"/>
    <w:rsid w:val="000367AA"/>
    <w:rsid w:val="00041E76"/>
    <w:rsid w:val="00043768"/>
    <w:rsid w:val="00045810"/>
    <w:rsid w:val="00047027"/>
    <w:rsid w:val="00063A09"/>
    <w:rsid w:val="00065770"/>
    <w:rsid w:val="00072C4F"/>
    <w:rsid w:val="0007309F"/>
    <w:rsid w:val="00075E09"/>
    <w:rsid w:val="000771DB"/>
    <w:rsid w:val="00081B97"/>
    <w:rsid w:val="000844E3"/>
    <w:rsid w:val="00084E3C"/>
    <w:rsid w:val="0009430C"/>
    <w:rsid w:val="000A10C8"/>
    <w:rsid w:val="000A2F0A"/>
    <w:rsid w:val="000A7490"/>
    <w:rsid w:val="000B01AE"/>
    <w:rsid w:val="000B2A1B"/>
    <w:rsid w:val="000B3E4B"/>
    <w:rsid w:val="000C0605"/>
    <w:rsid w:val="000C2143"/>
    <w:rsid w:val="000C2C9E"/>
    <w:rsid w:val="000C3B83"/>
    <w:rsid w:val="000C44CC"/>
    <w:rsid w:val="000D10A3"/>
    <w:rsid w:val="000D1778"/>
    <w:rsid w:val="000E7FAD"/>
    <w:rsid w:val="000F10B3"/>
    <w:rsid w:val="000F32E8"/>
    <w:rsid w:val="001002C0"/>
    <w:rsid w:val="00101242"/>
    <w:rsid w:val="001014EB"/>
    <w:rsid w:val="00102885"/>
    <w:rsid w:val="00104EC1"/>
    <w:rsid w:val="0011165E"/>
    <w:rsid w:val="00113DAD"/>
    <w:rsid w:val="0011477F"/>
    <w:rsid w:val="00117F1A"/>
    <w:rsid w:val="00117F48"/>
    <w:rsid w:val="00121100"/>
    <w:rsid w:val="0012466C"/>
    <w:rsid w:val="00124E0B"/>
    <w:rsid w:val="00130343"/>
    <w:rsid w:val="00133190"/>
    <w:rsid w:val="00134231"/>
    <w:rsid w:val="00135417"/>
    <w:rsid w:val="0013597B"/>
    <w:rsid w:val="00136184"/>
    <w:rsid w:val="00137E3A"/>
    <w:rsid w:val="00141BC3"/>
    <w:rsid w:val="001432AF"/>
    <w:rsid w:val="001435E2"/>
    <w:rsid w:val="00145FD9"/>
    <w:rsid w:val="00146821"/>
    <w:rsid w:val="00150FAC"/>
    <w:rsid w:val="00151636"/>
    <w:rsid w:val="0015430C"/>
    <w:rsid w:val="00154DC3"/>
    <w:rsid w:val="001556F7"/>
    <w:rsid w:val="00155BD4"/>
    <w:rsid w:val="00160321"/>
    <w:rsid w:val="0016114A"/>
    <w:rsid w:val="00162424"/>
    <w:rsid w:val="00166A4B"/>
    <w:rsid w:val="00167446"/>
    <w:rsid w:val="00167C2E"/>
    <w:rsid w:val="0017279A"/>
    <w:rsid w:val="00177179"/>
    <w:rsid w:val="00181B52"/>
    <w:rsid w:val="0018507E"/>
    <w:rsid w:val="0018523E"/>
    <w:rsid w:val="0019170A"/>
    <w:rsid w:val="00191FB9"/>
    <w:rsid w:val="0019351B"/>
    <w:rsid w:val="001974D9"/>
    <w:rsid w:val="001A2B22"/>
    <w:rsid w:val="001A6F98"/>
    <w:rsid w:val="001A6FE6"/>
    <w:rsid w:val="001A7FB7"/>
    <w:rsid w:val="001B318F"/>
    <w:rsid w:val="001B453B"/>
    <w:rsid w:val="001C3FAB"/>
    <w:rsid w:val="001C5C56"/>
    <w:rsid w:val="001D24A8"/>
    <w:rsid w:val="001D2B4E"/>
    <w:rsid w:val="001E1AA9"/>
    <w:rsid w:val="001E4D00"/>
    <w:rsid w:val="001E4D76"/>
    <w:rsid w:val="001E6F63"/>
    <w:rsid w:val="001F457E"/>
    <w:rsid w:val="001F49E8"/>
    <w:rsid w:val="001F781B"/>
    <w:rsid w:val="00200902"/>
    <w:rsid w:val="002009AE"/>
    <w:rsid w:val="00203F3E"/>
    <w:rsid w:val="002050B9"/>
    <w:rsid w:val="00217073"/>
    <w:rsid w:val="00221334"/>
    <w:rsid w:val="00221480"/>
    <w:rsid w:val="00221F9B"/>
    <w:rsid w:val="00234C69"/>
    <w:rsid w:val="0023782A"/>
    <w:rsid w:val="002424E3"/>
    <w:rsid w:val="002427E0"/>
    <w:rsid w:val="00243D1C"/>
    <w:rsid w:val="002450AA"/>
    <w:rsid w:val="00246D15"/>
    <w:rsid w:val="00251CD5"/>
    <w:rsid w:val="002530BF"/>
    <w:rsid w:val="00257084"/>
    <w:rsid w:val="00260030"/>
    <w:rsid w:val="0026159B"/>
    <w:rsid w:val="0026502E"/>
    <w:rsid w:val="0027231F"/>
    <w:rsid w:val="00272D2C"/>
    <w:rsid w:val="00273978"/>
    <w:rsid w:val="00276A29"/>
    <w:rsid w:val="00281820"/>
    <w:rsid w:val="00286764"/>
    <w:rsid w:val="002A0970"/>
    <w:rsid w:val="002A31D9"/>
    <w:rsid w:val="002A3C7C"/>
    <w:rsid w:val="002A5A70"/>
    <w:rsid w:val="002A5EB5"/>
    <w:rsid w:val="002B10E7"/>
    <w:rsid w:val="002B19E2"/>
    <w:rsid w:val="002B3846"/>
    <w:rsid w:val="002B524D"/>
    <w:rsid w:val="002B70AC"/>
    <w:rsid w:val="002C4832"/>
    <w:rsid w:val="002C6D3F"/>
    <w:rsid w:val="002D1F8C"/>
    <w:rsid w:val="002D2CC5"/>
    <w:rsid w:val="002D2F9E"/>
    <w:rsid w:val="002D5D16"/>
    <w:rsid w:val="002E2DC5"/>
    <w:rsid w:val="002E5DE6"/>
    <w:rsid w:val="002E6819"/>
    <w:rsid w:val="002E6A28"/>
    <w:rsid w:val="002E6A80"/>
    <w:rsid w:val="002F17FD"/>
    <w:rsid w:val="002F3A37"/>
    <w:rsid w:val="002F765A"/>
    <w:rsid w:val="00301A97"/>
    <w:rsid w:val="00302466"/>
    <w:rsid w:val="00302F84"/>
    <w:rsid w:val="00304C2B"/>
    <w:rsid w:val="00306117"/>
    <w:rsid w:val="003074DF"/>
    <w:rsid w:val="003122B4"/>
    <w:rsid w:val="003215CA"/>
    <w:rsid w:val="00322AC9"/>
    <w:rsid w:val="003230CB"/>
    <w:rsid w:val="003303D6"/>
    <w:rsid w:val="00331530"/>
    <w:rsid w:val="00332544"/>
    <w:rsid w:val="00332988"/>
    <w:rsid w:val="00335277"/>
    <w:rsid w:val="00335CA5"/>
    <w:rsid w:val="00337919"/>
    <w:rsid w:val="0034361C"/>
    <w:rsid w:val="00345DC5"/>
    <w:rsid w:val="00347832"/>
    <w:rsid w:val="0035192F"/>
    <w:rsid w:val="00352174"/>
    <w:rsid w:val="00352389"/>
    <w:rsid w:val="00355121"/>
    <w:rsid w:val="0035573D"/>
    <w:rsid w:val="00355E8A"/>
    <w:rsid w:val="00356D4C"/>
    <w:rsid w:val="00363819"/>
    <w:rsid w:val="003646A8"/>
    <w:rsid w:val="00365FC3"/>
    <w:rsid w:val="0037377A"/>
    <w:rsid w:val="00374AE3"/>
    <w:rsid w:val="003769E0"/>
    <w:rsid w:val="00377EDA"/>
    <w:rsid w:val="00384563"/>
    <w:rsid w:val="00391DB5"/>
    <w:rsid w:val="003940AF"/>
    <w:rsid w:val="003A36E4"/>
    <w:rsid w:val="003A52BA"/>
    <w:rsid w:val="003B291C"/>
    <w:rsid w:val="003B56AD"/>
    <w:rsid w:val="003C11CA"/>
    <w:rsid w:val="003C353F"/>
    <w:rsid w:val="003D0E56"/>
    <w:rsid w:val="003D16EA"/>
    <w:rsid w:val="003D5CEF"/>
    <w:rsid w:val="003D7641"/>
    <w:rsid w:val="003D7FEE"/>
    <w:rsid w:val="003E0945"/>
    <w:rsid w:val="003E2D81"/>
    <w:rsid w:val="003E6457"/>
    <w:rsid w:val="003F1DBE"/>
    <w:rsid w:val="003F6682"/>
    <w:rsid w:val="004036C3"/>
    <w:rsid w:val="00404348"/>
    <w:rsid w:val="00405506"/>
    <w:rsid w:val="004109C5"/>
    <w:rsid w:val="00411A50"/>
    <w:rsid w:val="00412725"/>
    <w:rsid w:val="0041615B"/>
    <w:rsid w:val="00420023"/>
    <w:rsid w:val="00421606"/>
    <w:rsid w:val="00423237"/>
    <w:rsid w:val="00425089"/>
    <w:rsid w:val="004273B0"/>
    <w:rsid w:val="00427D7F"/>
    <w:rsid w:val="0043029B"/>
    <w:rsid w:val="004324B6"/>
    <w:rsid w:val="00433682"/>
    <w:rsid w:val="00433946"/>
    <w:rsid w:val="0043744D"/>
    <w:rsid w:val="0044211A"/>
    <w:rsid w:val="004440CD"/>
    <w:rsid w:val="00445086"/>
    <w:rsid w:val="00447A05"/>
    <w:rsid w:val="004511F2"/>
    <w:rsid w:val="00455DF5"/>
    <w:rsid w:val="00465621"/>
    <w:rsid w:val="00471076"/>
    <w:rsid w:val="00471EEF"/>
    <w:rsid w:val="00474DCC"/>
    <w:rsid w:val="00476619"/>
    <w:rsid w:val="00480FB5"/>
    <w:rsid w:val="00485158"/>
    <w:rsid w:val="00485ECF"/>
    <w:rsid w:val="00490F3C"/>
    <w:rsid w:val="00491D22"/>
    <w:rsid w:val="00492FBA"/>
    <w:rsid w:val="00494B72"/>
    <w:rsid w:val="00496081"/>
    <w:rsid w:val="004A1348"/>
    <w:rsid w:val="004A20D5"/>
    <w:rsid w:val="004A7C27"/>
    <w:rsid w:val="004B243F"/>
    <w:rsid w:val="004B26E0"/>
    <w:rsid w:val="004B35E5"/>
    <w:rsid w:val="004C2B08"/>
    <w:rsid w:val="004C7281"/>
    <w:rsid w:val="004D1768"/>
    <w:rsid w:val="004D2C7C"/>
    <w:rsid w:val="004D71C4"/>
    <w:rsid w:val="004E4DE3"/>
    <w:rsid w:val="004E52A2"/>
    <w:rsid w:val="004E5AFB"/>
    <w:rsid w:val="004E65F8"/>
    <w:rsid w:val="004E6F58"/>
    <w:rsid w:val="004F0AA6"/>
    <w:rsid w:val="004F383F"/>
    <w:rsid w:val="004F3875"/>
    <w:rsid w:val="00510063"/>
    <w:rsid w:val="00513869"/>
    <w:rsid w:val="00517FBA"/>
    <w:rsid w:val="00524816"/>
    <w:rsid w:val="005261D0"/>
    <w:rsid w:val="00530816"/>
    <w:rsid w:val="0053140B"/>
    <w:rsid w:val="005328E8"/>
    <w:rsid w:val="005330FC"/>
    <w:rsid w:val="005333E3"/>
    <w:rsid w:val="0054046D"/>
    <w:rsid w:val="0054242B"/>
    <w:rsid w:val="00542F07"/>
    <w:rsid w:val="00543427"/>
    <w:rsid w:val="00546CF5"/>
    <w:rsid w:val="005473A7"/>
    <w:rsid w:val="0054750D"/>
    <w:rsid w:val="00550525"/>
    <w:rsid w:val="00554C59"/>
    <w:rsid w:val="005550A5"/>
    <w:rsid w:val="00556867"/>
    <w:rsid w:val="00560A42"/>
    <w:rsid w:val="005647D7"/>
    <w:rsid w:val="00570B62"/>
    <w:rsid w:val="00575627"/>
    <w:rsid w:val="005763C0"/>
    <w:rsid w:val="0058537D"/>
    <w:rsid w:val="00591490"/>
    <w:rsid w:val="005957CD"/>
    <w:rsid w:val="00595BBD"/>
    <w:rsid w:val="0059641E"/>
    <w:rsid w:val="005A4652"/>
    <w:rsid w:val="005A5045"/>
    <w:rsid w:val="005A5047"/>
    <w:rsid w:val="005B113A"/>
    <w:rsid w:val="005B31A7"/>
    <w:rsid w:val="005B5074"/>
    <w:rsid w:val="005B79C0"/>
    <w:rsid w:val="005C2837"/>
    <w:rsid w:val="005C3827"/>
    <w:rsid w:val="005C4AC6"/>
    <w:rsid w:val="005C63D8"/>
    <w:rsid w:val="005C7161"/>
    <w:rsid w:val="005C753F"/>
    <w:rsid w:val="005D3D99"/>
    <w:rsid w:val="005D50B3"/>
    <w:rsid w:val="005D5FFE"/>
    <w:rsid w:val="005E1352"/>
    <w:rsid w:val="005E1472"/>
    <w:rsid w:val="005E3D50"/>
    <w:rsid w:val="005E40F6"/>
    <w:rsid w:val="005E5703"/>
    <w:rsid w:val="005E5A6C"/>
    <w:rsid w:val="005F0F4C"/>
    <w:rsid w:val="005F79DC"/>
    <w:rsid w:val="006041A0"/>
    <w:rsid w:val="006173AC"/>
    <w:rsid w:val="0062100F"/>
    <w:rsid w:val="00625404"/>
    <w:rsid w:val="006300D8"/>
    <w:rsid w:val="00631B1C"/>
    <w:rsid w:val="00634880"/>
    <w:rsid w:val="00634C85"/>
    <w:rsid w:val="006425BA"/>
    <w:rsid w:val="0064767B"/>
    <w:rsid w:val="00650B9A"/>
    <w:rsid w:val="006529C0"/>
    <w:rsid w:val="00653345"/>
    <w:rsid w:val="006559E8"/>
    <w:rsid w:val="00655D74"/>
    <w:rsid w:val="00656F11"/>
    <w:rsid w:val="0065750C"/>
    <w:rsid w:val="00660C4F"/>
    <w:rsid w:val="006638E8"/>
    <w:rsid w:val="0066617C"/>
    <w:rsid w:val="006712ED"/>
    <w:rsid w:val="006728CF"/>
    <w:rsid w:val="00672ABC"/>
    <w:rsid w:val="00680076"/>
    <w:rsid w:val="0068325F"/>
    <w:rsid w:val="00683A00"/>
    <w:rsid w:val="00684D37"/>
    <w:rsid w:val="00686709"/>
    <w:rsid w:val="006878D7"/>
    <w:rsid w:val="00694030"/>
    <w:rsid w:val="00694D58"/>
    <w:rsid w:val="00694DB3"/>
    <w:rsid w:val="006961D6"/>
    <w:rsid w:val="00696E63"/>
    <w:rsid w:val="006A175B"/>
    <w:rsid w:val="006A37E7"/>
    <w:rsid w:val="006A5239"/>
    <w:rsid w:val="006D04CC"/>
    <w:rsid w:val="006D1088"/>
    <w:rsid w:val="006D2A35"/>
    <w:rsid w:val="006D771C"/>
    <w:rsid w:val="006E0931"/>
    <w:rsid w:val="006E1C4E"/>
    <w:rsid w:val="006E7283"/>
    <w:rsid w:val="006E775C"/>
    <w:rsid w:val="006F5785"/>
    <w:rsid w:val="006F6391"/>
    <w:rsid w:val="006F66CF"/>
    <w:rsid w:val="00702CD0"/>
    <w:rsid w:val="007049C8"/>
    <w:rsid w:val="00705600"/>
    <w:rsid w:val="0071444F"/>
    <w:rsid w:val="00715160"/>
    <w:rsid w:val="007161E7"/>
    <w:rsid w:val="00722F27"/>
    <w:rsid w:val="00725027"/>
    <w:rsid w:val="00726103"/>
    <w:rsid w:val="0072677A"/>
    <w:rsid w:val="00727F4C"/>
    <w:rsid w:val="00731CA8"/>
    <w:rsid w:val="00734F6B"/>
    <w:rsid w:val="00736030"/>
    <w:rsid w:val="00736BE1"/>
    <w:rsid w:val="00736D31"/>
    <w:rsid w:val="00737361"/>
    <w:rsid w:val="00740521"/>
    <w:rsid w:val="007412C9"/>
    <w:rsid w:val="00741BCB"/>
    <w:rsid w:val="00744470"/>
    <w:rsid w:val="007446A5"/>
    <w:rsid w:val="00757AF5"/>
    <w:rsid w:val="00760C36"/>
    <w:rsid w:val="00762290"/>
    <w:rsid w:val="00763501"/>
    <w:rsid w:val="00771FD5"/>
    <w:rsid w:val="00772FD5"/>
    <w:rsid w:val="00775C2F"/>
    <w:rsid w:val="00776DC4"/>
    <w:rsid w:val="00781867"/>
    <w:rsid w:val="007818D9"/>
    <w:rsid w:val="00782FEB"/>
    <w:rsid w:val="00783D5C"/>
    <w:rsid w:val="00791804"/>
    <w:rsid w:val="007971BD"/>
    <w:rsid w:val="007B4805"/>
    <w:rsid w:val="007B577B"/>
    <w:rsid w:val="007B682C"/>
    <w:rsid w:val="007C2D59"/>
    <w:rsid w:val="007C3B90"/>
    <w:rsid w:val="007D1D3A"/>
    <w:rsid w:val="007E2604"/>
    <w:rsid w:val="007E33D2"/>
    <w:rsid w:val="007E5290"/>
    <w:rsid w:val="007E687D"/>
    <w:rsid w:val="007F21F4"/>
    <w:rsid w:val="007F30D9"/>
    <w:rsid w:val="007F7597"/>
    <w:rsid w:val="00802898"/>
    <w:rsid w:val="008119F3"/>
    <w:rsid w:val="00813658"/>
    <w:rsid w:val="00813EF3"/>
    <w:rsid w:val="008143E1"/>
    <w:rsid w:val="00817CEB"/>
    <w:rsid w:val="008234B6"/>
    <w:rsid w:val="008256EB"/>
    <w:rsid w:val="008269A8"/>
    <w:rsid w:val="0083035E"/>
    <w:rsid w:val="008305D5"/>
    <w:rsid w:val="00834903"/>
    <w:rsid w:val="008352AC"/>
    <w:rsid w:val="00840C4A"/>
    <w:rsid w:val="00841DE8"/>
    <w:rsid w:val="00845221"/>
    <w:rsid w:val="00852651"/>
    <w:rsid w:val="00852888"/>
    <w:rsid w:val="00854BC8"/>
    <w:rsid w:val="008553F7"/>
    <w:rsid w:val="008564B9"/>
    <w:rsid w:val="00857A0D"/>
    <w:rsid w:val="00863619"/>
    <w:rsid w:val="00864E28"/>
    <w:rsid w:val="00871392"/>
    <w:rsid w:val="008766AD"/>
    <w:rsid w:val="00881219"/>
    <w:rsid w:val="00883460"/>
    <w:rsid w:val="00887773"/>
    <w:rsid w:val="0089554D"/>
    <w:rsid w:val="008957B9"/>
    <w:rsid w:val="008975A6"/>
    <w:rsid w:val="008A1889"/>
    <w:rsid w:val="008A2183"/>
    <w:rsid w:val="008A41AF"/>
    <w:rsid w:val="008A6F4F"/>
    <w:rsid w:val="008A7B84"/>
    <w:rsid w:val="008A7E84"/>
    <w:rsid w:val="008B0373"/>
    <w:rsid w:val="008B04BB"/>
    <w:rsid w:val="008B4581"/>
    <w:rsid w:val="008B5681"/>
    <w:rsid w:val="008B761D"/>
    <w:rsid w:val="008B7720"/>
    <w:rsid w:val="008C0109"/>
    <w:rsid w:val="008C183D"/>
    <w:rsid w:val="008C44C1"/>
    <w:rsid w:val="008C7D0D"/>
    <w:rsid w:val="008C7E11"/>
    <w:rsid w:val="008D415E"/>
    <w:rsid w:val="008E0CF1"/>
    <w:rsid w:val="008E258C"/>
    <w:rsid w:val="008E4C9B"/>
    <w:rsid w:val="008E4D6E"/>
    <w:rsid w:val="008E7B7C"/>
    <w:rsid w:val="008E7EB9"/>
    <w:rsid w:val="008F00A2"/>
    <w:rsid w:val="008F03F8"/>
    <w:rsid w:val="008F1594"/>
    <w:rsid w:val="008F2565"/>
    <w:rsid w:val="008F4B45"/>
    <w:rsid w:val="008F4ED5"/>
    <w:rsid w:val="009000AA"/>
    <w:rsid w:val="00902A18"/>
    <w:rsid w:val="00902B17"/>
    <w:rsid w:val="00906199"/>
    <w:rsid w:val="009065DF"/>
    <w:rsid w:val="00906D69"/>
    <w:rsid w:val="00907B4A"/>
    <w:rsid w:val="009104E0"/>
    <w:rsid w:val="0091706C"/>
    <w:rsid w:val="00923B99"/>
    <w:rsid w:val="00927F9C"/>
    <w:rsid w:val="00930260"/>
    <w:rsid w:val="00934BB3"/>
    <w:rsid w:val="009403C1"/>
    <w:rsid w:val="009411B7"/>
    <w:rsid w:val="00942A31"/>
    <w:rsid w:val="00943C54"/>
    <w:rsid w:val="00945256"/>
    <w:rsid w:val="009542F2"/>
    <w:rsid w:val="009562F4"/>
    <w:rsid w:val="009572AC"/>
    <w:rsid w:val="00963B7F"/>
    <w:rsid w:val="00964AD1"/>
    <w:rsid w:val="0097202F"/>
    <w:rsid w:val="009726FE"/>
    <w:rsid w:val="00977405"/>
    <w:rsid w:val="00981D6D"/>
    <w:rsid w:val="009858E2"/>
    <w:rsid w:val="009916D5"/>
    <w:rsid w:val="00991815"/>
    <w:rsid w:val="00997792"/>
    <w:rsid w:val="009A55EF"/>
    <w:rsid w:val="009B32BA"/>
    <w:rsid w:val="009B4935"/>
    <w:rsid w:val="009B51E7"/>
    <w:rsid w:val="009B5206"/>
    <w:rsid w:val="009B6BDB"/>
    <w:rsid w:val="009B7859"/>
    <w:rsid w:val="009C07C1"/>
    <w:rsid w:val="009C3720"/>
    <w:rsid w:val="009C742B"/>
    <w:rsid w:val="009D0B98"/>
    <w:rsid w:val="009D5CD4"/>
    <w:rsid w:val="009E1111"/>
    <w:rsid w:val="009E14EA"/>
    <w:rsid w:val="009E1D1F"/>
    <w:rsid w:val="009E4A9E"/>
    <w:rsid w:val="009E5618"/>
    <w:rsid w:val="009E66EE"/>
    <w:rsid w:val="009E6DE2"/>
    <w:rsid w:val="009E771E"/>
    <w:rsid w:val="009F0F49"/>
    <w:rsid w:val="009F1F6D"/>
    <w:rsid w:val="009F3D64"/>
    <w:rsid w:val="009F4830"/>
    <w:rsid w:val="009F52D4"/>
    <w:rsid w:val="00A0525D"/>
    <w:rsid w:val="00A06C6D"/>
    <w:rsid w:val="00A11AC2"/>
    <w:rsid w:val="00A14F73"/>
    <w:rsid w:val="00A20F2E"/>
    <w:rsid w:val="00A26321"/>
    <w:rsid w:val="00A272DE"/>
    <w:rsid w:val="00A3287F"/>
    <w:rsid w:val="00A37CE3"/>
    <w:rsid w:val="00A42D92"/>
    <w:rsid w:val="00A45338"/>
    <w:rsid w:val="00A45DA7"/>
    <w:rsid w:val="00A46FEE"/>
    <w:rsid w:val="00A51FC5"/>
    <w:rsid w:val="00A52EE2"/>
    <w:rsid w:val="00A5641C"/>
    <w:rsid w:val="00A60FB7"/>
    <w:rsid w:val="00A639CE"/>
    <w:rsid w:val="00A64177"/>
    <w:rsid w:val="00A65C09"/>
    <w:rsid w:val="00A71144"/>
    <w:rsid w:val="00A7172E"/>
    <w:rsid w:val="00A74873"/>
    <w:rsid w:val="00A754A9"/>
    <w:rsid w:val="00A83D73"/>
    <w:rsid w:val="00A91196"/>
    <w:rsid w:val="00A92E70"/>
    <w:rsid w:val="00A964AC"/>
    <w:rsid w:val="00AA1305"/>
    <w:rsid w:val="00AA41CD"/>
    <w:rsid w:val="00AA5232"/>
    <w:rsid w:val="00AA69A9"/>
    <w:rsid w:val="00AB53A4"/>
    <w:rsid w:val="00AC1133"/>
    <w:rsid w:val="00AC4289"/>
    <w:rsid w:val="00AC5514"/>
    <w:rsid w:val="00AC6691"/>
    <w:rsid w:val="00AD0B20"/>
    <w:rsid w:val="00AD2F57"/>
    <w:rsid w:val="00AD4BFC"/>
    <w:rsid w:val="00AD5474"/>
    <w:rsid w:val="00AE0499"/>
    <w:rsid w:val="00AE2F7E"/>
    <w:rsid w:val="00AF03DE"/>
    <w:rsid w:val="00AF29EE"/>
    <w:rsid w:val="00AF317E"/>
    <w:rsid w:val="00AF33E0"/>
    <w:rsid w:val="00B06083"/>
    <w:rsid w:val="00B06573"/>
    <w:rsid w:val="00B06E28"/>
    <w:rsid w:val="00B11F97"/>
    <w:rsid w:val="00B12E91"/>
    <w:rsid w:val="00B15CE8"/>
    <w:rsid w:val="00B2044B"/>
    <w:rsid w:val="00B228E8"/>
    <w:rsid w:val="00B22DDE"/>
    <w:rsid w:val="00B23A4C"/>
    <w:rsid w:val="00B2560C"/>
    <w:rsid w:val="00B31FBA"/>
    <w:rsid w:val="00B32A3B"/>
    <w:rsid w:val="00B34FEF"/>
    <w:rsid w:val="00B378D4"/>
    <w:rsid w:val="00B3793F"/>
    <w:rsid w:val="00B542FB"/>
    <w:rsid w:val="00B61521"/>
    <w:rsid w:val="00B6316A"/>
    <w:rsid w:val="00B67D94"/>
    <w:rsid w:val="00B70610"/>
    <w:rsid w:val="00B714E8"/>
    <w:rsid w:val="00B72804"/>
    <w:rsid w:val="00B777A7"/>
    <w:rsid w:val="00B83E3D"/>
    <w:rsid w:val="00B8649B"/>
    <w:rsid w:val="00B903C6"/>
    <w:rsid w:val="00B90DB5"/>
    <w:rsid w:val="00B97C3F"/>
    <w:rsid w:val="00B97F56"/>
    <w:rsid w:val="00BA0109"/>
    <w:rsid w:val="00BA44CD"/>
    <w:rsid w:val="00BA7CA8"/>
    <w:rsid w:val="00BB0487"/>
    <w:rsid w:val="00BB25DE"/>
    <w:rsid w:val="00BB477A"/>
    <w:rsid w:val="00BB602E"/>
    <w:rsid w:val="00BC3D62"/>
    <w:rsid w:val="00BC48A3"/>
    <w:rsid w:val="00BC494B"/>
    <w:rsid w:val="00BC4CDF"/>
    <w:rsid w:val="00BC50C1"/>
    <w:rsid w:val="00BC6E94"/>
    <w:rsid w:val="00BD03F4"/>
    <w:rsid w:val="00BD10CA"/>
    <w:rsid w:val="00BD1C20"/>
    <w:rsid w:val="00BD2649"/>
    <w:rsid w:val="00BD3C61"/>
    <w:rsid w:val="00BE1A34"/>
    <w:rsid w:val="00BE2018"/>
    <w:rsid w:val="00BE2F90"/>
    <w:rsid w:val="00BE505F"/>
    <w:rsid w:val="00BE64FB"/>
    <w:rsid w:val="00BE661C"/>
    <w:rsid w:val="00BF00A9"/>
    <w:rsid w:val="00BF426F"/>
    <w:rsid w:val="00BF43E6"/>
    <w:rsid w:val="00BF61D3"/>
    <w:rsid w:val="00BF65F8"/>
    <w:rsid w:val="00BF768A"/>
    <w:rsid w:val="00C0126E"/>
    <w:rsid w:val="00C020DF"/>
    <w:rsid w:val="00C02452"/>
    <w:rsid w:val="00C060BF"/>
    <w:rsid w:val="00C064D7"/>
    <w:rsid w:val="00C11326"/>
    <w:rsid w:val="00C131D7"/>
    <w:rsid w:val="00C13ABA"/>
    <w:rsid w:val="00C33BF5"/>
    <w:rsid w:val="00C34768"/>
    <w:rsid w:val="00C44116"/>
    <w:rsid w:val="00C4491F"/>
    <w:rsid w:val="00C500C6"/>
    <w:rsid w:val="00C52AEE"/>
    <w:rsid w:val="00C55D4B"/>
    <w:rsid w:val="00C57FF0"/>
    <w:rsid w:val="00C6122C"/>
    <w:rsid w:val="00C61A31"/>
    <w:rsid w:val="00C61C88"/>
    <w:rsid w:val="00C63BEE"/>
    <w:rsid w:val="00C6475A"/>
    <w:rsid w:val="00C66700"/>
    <w:rsid w:val="00C67D4C"/>
    <w:rsid w:val="00C72269"/>
    <w:rsid w:val="00C7784C"/>
    <w:rsid w:val="00C842DE"/>
    <w:rsid w:val="00C8496C"/>
    <w:rsid w:val="00C93789"/>
    <w:rsid w:val="00C96DCD"/>
    <w:rsid w:val="00CA5209"/>
    <w:rsid w:val="00CA5F76"/>
    <w:rsid w:val="00CB4F37"/>
    <w:rsid w:val="00CB75F6"/>
    <w:rsid w:val="00CC39C8"/>
    <w:rsid w:val="00CC5E3C"/>
    <w:rsid w:val="00CC7668"/>
    <w:rsid w:val="00CD7057"/>
    <w:rsid w:val="00CE2D38"/>
    <w:rsid w:val="00CE57A2"/>
    <w:rsid w:val="00CE7BDE"/>
    <w:rsid w:val="00CF45CC"/>
    <w:rsid w:val="00D040EF"/>
    <w:rsid w:val="00D0465E"/>
    <w:rsid w:val="00D11EDB"/>
    <w:rsid w:val="00D16EF3"/>
    <w:rsid w:val="00D17BB0"/>
    <w:rsid w:val="00D237A4"/>
    <w:rsid w:val="00D253D5"/>
    <w:rsid w:val="00D30303"/>
    <w:rsid w:val="00D3244E"/>
    <w:rsid w:val="00D331AB"/>
    <w:rsid w:val="00D35023"/>
    <w:rsid w:val="00D37294"/>
    <w:rsid w:val="00D3741F"/>
    <w:rsid w:val="00D377C4"/>
    <w:rsid w:val="00D37EAA"/>
    <w:rsid w:val="00D404D6"/>
    <w:rsid w:val="00D4124E"/>
    <w:rsid w:val="00D422E5"/>
    <w:rsid w:val="00D535F3"/>
    <w:rsid w:val="00D54B03"/>
    <w:rsid w:val="00D55A36"/>
    <w:rsid w:val="00D6282B"/>
    <w:rsid w:val="00D62923"/>
    <w:rsid w:val="00D6302E"/>
    <w:rsid w:val="00D67E9A"/>
    <w:rsid w:val="00D705B1"/>
    <w:rsid w:val="00D729C6"/>
    <w:rsid w:val="00D72B45"/>
    <w:rsid w:val="00D72E86"/>
    <w:rsid w:val="00D73D4D"/>
    <w:rsid w:val="00D76659"/>
    <w:rsid w:val="00D806B9"/>
    <w:rsid w:val="00D8187C"/>
    <w:rsid w:val="00D87970"/>
    <w:rsid w:val="00D92EC6"/>
    <w:rsid w:val="00D93F43"/>
    <w:rsid w:val="00D94C9A"/>
    <w:rsid w:val="00D95E8E"/>
    <w:rsid w:val="00DA0292"/>
    <w:rsid w:val="00DA50D6"/>
    <w:rsid w:val="00DB54A4"/>
    <w:rsid w:val="00DC0D30"/>
    <w:rsid w:val="00DC0F5B"/>
    <w:rsid w:val="00DC127A"/>
    <w:rsid w:val="00DC356C"/>
    <w:rsid w:val="00DC501B"/>
    <w:rsid w:val="00DC5221"/>
    <w:rsid w:val="00DD1686"/>
    <w:rsid w:val="00DD248C"/>
    <w:rsid w:val="00DD4EB7"/>
    <w:rsid w:val="00DE22E2"/>
    <w:rsid w:val="00DE7FA7"/>
    <w:rsid w:val="00DF3877"/>
    <w:rsid w:val="00DF502F"/>
    <w:rsid w:val="00DF7606"/>
    <w:rsid w:val="00DF7C32"/>
    <w:rsid w:val="00E1444B"/>
    <w:rsid w:val="00E214F4"/>
    <w:rsid w:val="00E25853"/>
    <w:rsid w:val="00E266ED"/>
    <w:rsid w:val="00E31003"/>
    <w:rsid w:val="00E401A9"/>
    <w:rsid w:val="00E414E2"/>
    <w:rsid w:val="00E4363A"/>
    <w:rsid w:val="00E43F82"/>
    <w:rsid w:val="00E603B0"/>
    <w:rsid w:val="00E614A0"/>
    <w:rsid w:val="00E652F0"/>
    <w:rsid w:val="00E73B7C"/>
    <w:rsid w:val="00E7460D"/>
    <w:rsid w:val="00E751E3"/>
    <w:rsid w:val="00E82E22"/>
    <w:rsid w:val="00E82F4D"/>
    <w:rsid w:val="00E840AD"/>
    <w:rsid w:val="00E85BF0"/>
    <w:rsid w:val="00E923C3"/>
    <w:rsid w:val="00E934EC"/>
    <w:rsid w:val="00EA2CDC"/>
    <w:rsid w:val="00EA46D7"/>
    <w:rsid w:val="00EA4DD9"/>
    <w:rsid w:val="00EB3B19"/>
    <w:rsid w:val="00EB428B"/>
    <w:rsid w:val="00EB60A5"/>
    <w:rsid w:val="00EB7991"/>
    <w:rsid w:val="00EC0602"/>
    <w:rsid w:val="00EC2DBE"/>
    <w:rsid w:val="00EC6337"/>
    <w:rsid w:val="00ED033F"/>
    <w:rsid w:val="00ED0D99"/>
    <w:rsid w:val="00ED1055"/>
    <w:rsid w:val="00ED2B70"/>
    <w:rsid w:val="00ED333F"/>
    <w:rsid w:val="00ED48F6"/>
    <w:rsid w:val="00ED60EE"/>
    <w:rsid w:val="00EF0812"/>
    <w:rsid w:val="00EF10AC"/>
    <w:rsid w:val="00EF3C55"/>
    <w:rsid w:val="00EF5EDA"/>
    <w:rsid w:val="00F074CE"/>
    <w:rsid w:val="00F07E89"/>
    <w:rsid w:val="00F111D5"/>
    <w:rsid w:val="00F14FCF"/>
    <w:rsid w:val="00F17BEA"/>
    <w:rsid w:val="00F3279B"/>
    <w:rsid w:val="00F33D07"/>
    <w:rsid w:val="00F463CC"/>
    <w:rsid w:val="00F469E4"/>
    <w:rsid w:val="00F50491"/>
    <w:rsid w:val="00F50994"/>
    <w:rsid w:val="00F52084"/>
    <w:rsid w:val="00F56678"/>
    <w:rsid w:val="00F638E0"/>
    <w:rsid w:val="00F6640B"/>
    <w:rsid w:val="00F664D9"/>
    <w:rsid w:val="00F672D1"/>
    <w:rsid w:val="00F73C10"/>
    <w:rsid w:val="00F74AD4"/>
    <w:rsid w:val="00F74DFC"/>
    <w:rsid w:val="00F862CB"/>
    <w:rsid w:val="00F8702D"/>
    <w:rsid w:val="00F8749A"/>
    <w:rsid w:val="00F90865"/>
    <w:rsid w:val="00F93F71"/>
    <w:rsid w:val="00FA0346"/>
    <w:rsid w:val="00FA0535"/>
    <w:rsid w:val="00FA1313"/>
    <w:rsid w:val="00FA2579"/>
    <w:rsid w:val="00FB1BD5"/>
    <w:rsid w:val="00FB31D2"/>
    <w:rsid w:val="00FB4DEF"/>
    <w:rsid w:val="00FB6DA3"/>
    <w:rsid w:val="00FB7D8C"/>
    <w:rsid w:val="00FC690D"/>
    <w:rsid w:val="00FD0122"/>
    <w:rsid w:val="00FD1E77"/>
    <w:rsid w:val="00FD332C"/>
    <w:rsid w:val="00FE0B62"/>
    <w:rsid w:val="00FE341F"/>
    <w:rsid w:val="00FE50B6"/>
    <w:rsid w:val="00FE6312"/>
    <w:rsid w:val="00FE7077"/>
    <w:rsid w:val="00FE7267"/>
    <w:rsid w:val="00FF0114"/>
    <w:rsid w:val="00FF31CA"/>
    <w:rsid w:val="00FF3B72"/>
    <w:rsid w:val="00FF7D6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1202"/>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0109"/>
    <w:pPr>
      <w:spacing w:line="280" w:lineRule="exact"/>
    </w:pPr>
    <w:rPr>
      <w:rFonts w:ascii="Arial" w:eastAsiaTheme="minorEastAsia" w:hAnsi="Arial"/>
      <w:sz w:val="20"/>
      <w:szCs w:val="21"/>
    </w:rPr>
  </w:style>
  <w:style w:type="paragraph" w:styleId="Heading1">
    <w:name w:val="heading 1"/>
    <w:basedOn w:val="Normal"/>
    <w:next w:val="Normal"/>
    <w:link w:val="Heading1Char"/>
    <w:uiPriority w:val="2"/>
    <w:qFormat/>
    <w:rsid w:val="00AB53A4"/>
    <w:pPr>
      <w:spacing w:before="240" w:line="240" w:lineRule="auto"/>
      <w:outlineLvl w:val="0"/>
    </w:pPr>
    <w:rPr>
      <w:rFonts w:asciiTheme="majorHAnsi" w:hAnsiTheme="majorHAnsi"/>
      <w:color w:val="001A70" w:themeColor="text2"/>
      <w:sz w:val="52"/>
    </w:rPr>
  </w:style>
  <w:style w:type="paragraph" w:styleId="Heading2">
    <w:name w:val="heading 2"/>
    <w:basedOn w:val="Heading1"/>
    <w:next w:val="Normal"/>
    <w:link w:val="Heading2Char"/>
    <w:uiPriority w:val="9"/>
    <w:unhideWhenUsed/>
    <w:qFormat/>
    <w:rsid w:val="00AB53A4"/>
    <w:pPr>
      <w:spacing w:after="120" w:line="280" w:lineRule="exact"/>
      <w:outlineLvl w:val="1"/>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AB53A4"/>
    <w:rPr>
      <w:rFonts w:asciiTheme="majorHAnsi" w:eastAsiaTheme="minorEastAsia" w:hAnsiTheme="majorHAnsi"/>
      <w:color w:val="001A70" w:themeColor="text2"/>
      <w:sz w:val="52"/>
      <w:szCs w:val="21"/>
    </w:rPr>
  </w:style>
  <w:style w:type="paragraph" w:styleId="ListParagraph">
    <w:name w:val="List Paragraph"/>
    <w:basedOn w:val="Normal"/>
    <w:qFormat/>
    <w:rsid w:val="00135417"/>
    <w:pPr>
      <w:numPr>
        <w:numId w:val="2"/>
      </w:numPr>
      <w:spacing w:after="60"/>
    </w:pPr>
  </w:style>
  <w:style w:type="character" w:customStyle="1" w:styleId="Heading2Char">
    <w:name w:val="Heading 2 Char"/>
    <w:basedOn w:val="DefaultParagraphFont"/>
    <w:link w:val="Heading2"/>
    <w:uiPriority w:val="9"/>
    <w:rsid w:val="00AB53A4"/>
    <w:rPr>
      <w:rFonts w:asciiTheme="majorHAnsi" w:eastAsiaTheme="minorEastAsia" w:hAnsiTheme="majorHAnsi"/>
      <w:color w:val="001A70" w:themeColor="text2"/>
      <w:sz w:val="28"/>
      <w:szCs w:val="21"/>
    </w:rPr>
  </w:style>
  <w:style w:type="paragraph" w:styleId="Header">
    <w:name w:val="header"/>
    <w:basedOn w:val="Normal"/>
    <w:link w:val="HeaderChar"/>
    <w:uiPriority w:val="99"/>
    <w:unhideWhenUsed/>
    <w:rsid w:val="006D10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1088"/>
    <w:rPr>
      <w:rFonts w:ascii="Arial" w:eastAsiaTheme="minorEastAsia" w:hAnsi="Arial"/>
      <w:sz w:val="24"/>
      <w:szCs w:val="21"/>
    </w:rPr>
  </w:style>
  <w:style w:type="paragraph" w:styleId="Footer">
    <w:name w:val="footer"/>
    <w:basedOn w:val="Normal"/>
    <w:link w:val="FooterChar"/>
    <w:autoRedefine/>
    <w:uiPriority w:val="99"/>
    <w:unhideWhenUsed/>
    <w:rsid w:val="00D37294"/>
    <w:pPr>
      <w:tabs>
        <w:tab w:val="center" w:pos="4513"/>
        <w:tab w:val="right" w:pos="9026"/>
      </w:tabs>
      <w:spacing w:after="0" w:line="240" w:lineRule="auto"/>
    </w:pPr>
    <w:rPr>
      <w:color w:val="001A70" w:themeColor="text2"/>
      <w:sz w:val="16"/>
    </w:rPr>
  </w:style>
  <w:style w:type="character" w:customStyle="1" w:styleId="FooterChar">
    <w:name w:val="Footer Char"/>
    <w:basedOn w:val="DefaultParagraphFont"/>
    <w:link w:val="Footer"/>
    <w:uiPriority w:val="99"/>
    <w:rsid w:val="00D37294"/>
    <w:rPr>
      <w:rFonts w:ascii="Arial" w:eastAsiaTheme="minorEastAsia" w:hAnsi="Arial"/>
      <w:color w:val="001A70" w:themeColor="text2"/>
      <w:sz w:val="16"/>
      <w:szCs w:val="21"/>
    </w:rPr>
  </w:style>
  <w:style w:type="paragraph" w:styleId="Title">
    <w:name w:val="Title"/>
    <w:basedOn w:val="Normal"/>
    <w:next w:val="Normal"/>
    <w:link w:val="TitleChar"/>
    <w:autoRedefine/>
    <w:rsid w:val="009F52D4"/>
    <w:pPr>
      <w:framePr w:w="10096" w:wrap="auto" w:hAnchor="text" w:y="-5"/>
      <w:spacing w:after="0" w:line="240" w:lineRule="auto"/>
      <w:contextualSpacing/>
    </w:pPr>
    <w:rPr>
      <w:rFonts w:asciiTheme="majorHAnsi" w:eastAsiaTheme="majorEastAsia" w:hAnsiTheme="majorHAnsi" w:cstheme="majorBidi"/>
      <w:color w:val="001A70" w:themeColor="text2"/>
      <w:spacing w:val="-10"/>
      <w:kern w:val="28"/>
      <w:sz w:val="52"/>
      <w:szCs w:val="56"/>
    </w:rPr>
  </w:style>
  <w:style w:type="character" w:customStyle="1" w:styleId="TitleChar">
    <w:name w:val="Title Char"/>
    <w:basedOn w:val="DefaultParagraphFont"/>
    <w:link w:val="Title"/>
    <w:rsid w:val="009F52D4"/>
    <w:rPr>
      <w:rFonts w:asciiTheme="majorHAnsi" w:eastAsiaTheme="majorEastAsia" w:hAnsiTheme="majorHAnsi" w:cstheme="majorBidi"/>
      <w:color w:val="001A70" w:themeColor="text2"/>
      <w:spacing w:val="-10"/>
      <w:kern w:val="28"/>
      <w:sz w:val="52"/>
      <w:szCs w:val="56"/>
    </w:rPr>
  </w:style>
  <w:style w:type="paragraph" w:customStyle="1" w:styleId="BasicParagraph">
    <w:name w:val="[Basic Paragraph]"/>
    <w:basedOn w:val="Normal"/>
    <w:uiPriority w:val="99"/>
    <w:rsid w:val="00B23A4C"/>
    <w:pPr>
      <w:autoSpaceDE w:val="0"/>
      <w:autoSpaceDN w:val="0"/>
      <w:adjustRightInd w:val="0"/>
      <w:spacing w:after="0" w:line="288" w:lineRule="auto"/>
      <w:textAlignment w:val="center"/>
    </w:pPr>
    <w:rPr>
      <w:rFonts w:ascii="Gotham Book" w:eastAsiaTheme="minorHAnsi" w:hAnsi="Gotham Book" w:cs="Gotham Book"/>
      <w:color w:val="000000"/>
      <w:szCs w:val="24"/>
      <w:lang w:val="en-US"/>
    </w:rPr>
  </w:style>
  <w:style w:type="paragraph" w:styleId="BalloonText">
    <w:name w:val="Balloon Text"/>
    <w:basedOn w:val="Normal"/>
    <w:link w:val="BalloonTextChar"/>
    <w:uiPriority w:val="99"/>
    <w:semiHidden/>
    <w:unhideWhenUsed/>
    <w:rsid w:val="00B83E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3E3D"/>
    <w:rPr>
      <w:rFonts w:ascii="Segoe UI" w:eastAsiaTheme="minorEastAsia" w:hAnsi="Segoe UI" w:cs="Segoe UI"/>
      <w:sz w:val="18"/>
      <w:szCs w:val="18"/>
    </w:rPr>
  </w:style>
  <w:style w:type="character" w:styleId="BookTitle">
    <w:name w:val="Book Title"/>
    <w:aliases w:val="Description"/>
    <w:basedOn w:val="DefaultParagraphFont"/>
    <w:uiPriority w:val="33"/>
    <w:rsid w:val="009000AA"/>
    <w:rPr>
      <w:rFonts w:asciiTheme="minorHAnsi" w:hAnsiTheme="minorHAnsi"/>
      <w:b/>
      <w:bCs/>
      <w:i/>
      <w:iCs/>
      <w:spacing w:val="5"/>
      <w:sz w:val="22"/>
    </w:rPr>
  </w:style>
  <w:style w:type="paragraph" w:customStyle="1" w:styleId="Default">
    <w:name w:val="Default"/>
    <w:rsid w:val="00550525"/>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907B4A"/>
    <w:rPr>
      <w:sz w:val="16"/>
      <w:szCs w:val="16"/>
    </w:rPr>
  </w:style>
  <w:style w:type="paragraph" w:styleId="CommentText">
    <w:name w:val="annotation text"/>
    <w:basedOn w:val="Normal"/>
    <w:link w:val="CommentTextChar"/>
    <w:uiPriority w:val="99"/>
    <w:unhideWhenUsed/>
    <w:rsid w:val="00907B4A"/>
    <w:pPr>
      <w:spacing w:line="240" w:lineRule="auto"/>
    </w:pPr>
    <w:rPr>
      <w:szCs w:val="20"/>
    </w:rPr>
  </w:style>
  <w:style w:type="character" w:customStyle="1" w:styleId="CommentTextChar">
    <w:name w:val="Comment Text Char"/>
    <w:basedOn w:val="DefaultParagraphFont"/>
    <w:link w:val="CommentText"/>
    <w:uiPriority w:val="99"/>
    <w:rsid w:val="00907B4A"/>
    <w:rPr>
      <w:rFonts w:ascii="Arial" w:eastAsiaTheme="minorEastAsia" w:hAnsi="Arial"/>
      <w:sz w:val="20"/>
      <w:szCs w:val="20"/>
    </w:rPr>
  </w:style>
  <w:style w:type="paragraph" w:styleId="CommentSubject">
    <w:name w:val="annotation subject"/>
    <w:basedOn w:val="CommentText"/>
    <w:next w:val="CommentText"/>
    <w:link w:val="CommentSubjectChar"/>
    <w:uiPriority w:val="99"/>
    <w:semiHidden/>
    <w:unhideWhenUsed/>
    <w:rsid w:val="00907B4A"/>
    <w:rPr>
      <w:b/>
      <w:bCs/>
    </w:rPr>
  </w:style>
  <w:style w:type="character" w:customStyle="1" w:styleId="CommentSubjectChar">
    <w:name w:val="Comment Subject Char"/>
    <w:basedOn w:val="CommentTextChar"/>
    <w:link w:val="CommentSubject"/>
    <w:uiPriority w:val="99"/>
    <w:semiHidden/>
    <w:rsid w:val="00907B4A"/>
    <w:rPr>
      <w:rFonts w:ascii="Arial" w:eastAsiaTheme="minorEastAsia" w:hAnsi="Arial"/>
      <w:b/>
      <w:bCs/>
      <w:sz w:val="20"/>
      <w:szCs w:val="20"/>
    </w:rPr>
  </w:style>
  <w:style w:type="paragraph" w:styleId="Revision">
    <w:name w:val="Revision"/>
    <w:hidden/>
    <w:uiPriority w:val="99"/>
    <w:semiHidden/>
    <w:rsid w:val="004B243F"/>
    <w:pPr>
      <w:spacing w:after="0" w:line="240" w:lineRule="auto"/>
    </w:pPr>
    <w:rPr>
      <w:rFonts w:ascii="Arial" w:eastAsiaTheme="minorEastAsia" w:hAnsi="Arial"/>
      <w:sz w:val="20"/>
      <w:szCs w:val="21"/>
    </w:rPr>
  </w:style>
  <w:style w:type="character" w:styleId="Hyperlink">
    <w:name w:val="Hyperlink"/>
    <w:basedOn w:val="DefaultParagraphFont"/>
    <w:uiPriority w:val="99"/>
    <w:unhideWhenUsed/>
    <w:rsid w:val="009B32BA"/>
    <w:rPr>
      <w:color w:val="7D2248" w:themeColor="hyperlink"/>
      <w:u w:val="single"/>
    </w:rPr>
  </w:style>
  <w:style w:type="character" w:customStyle="1" w:styleId="UnresolvedMention1">
    <w:name w:val="Unresolved Mention1"/>
    <w:basedOn w:val="DefaultParagraphFont"/>
    <w:uiPriority w:val="99"/>
    <w:semiHidden/>
    <w:unhideWhenUsed/>
    <w:rsid w:val="001C5C56"/>
    <w:rPr>
      <w:color w:val="808080"/>
      <w:shd w:val="clear" w:color="auto" w:fill="E6E6E6"/>
    </w:rPr>
  </w:style>
  <w:style w:type="character" w:styleId="Strong">
    <w:name w:val="Strong"/>
    <w:basedOn w:val="DefaultParagraphFont"/>
    <w:uiPriority w:val="22"/>
    <w:rsid w:val="001E6F63"/>
    <w:rPr>
      <w:b/>
      <w:bCs/>
    </w:rPr>
  </w:style>
  <w:style w:type="character" w:styleId="FollowedHyperlink">
    <w:name w:val="FollowedHyperlink"/>
    <w:basedOn w:val="DefaultParagraphFont"/>
    <w:uiPriority w:val="99"/>
    <w:semiHidden/>
    <w:unhideWhenUsed/>
    <w:rsid w:val="005E1472"/>
    <w:rPr>
      <w:color w:val="5F259F" w:themeColor="followedHyperlink"/>
      <w:u w:val="single"/>
    </w:rPr>
  </w:style>
  <w:style w:type="paragraph" w:customStyle="1" w:styleId="Disclaimer">
    <w:name w:val="Disclaimer"/>
    <w:basedOn w:val="Normal"/>
    <w:uiPriority w:val="10"/>
    <w:qFormat/>
    <w:rsid w:val="00656F11"/>
    <w:pPr>
      <w:ind w:left="567" w:right="1394"/>
    </w:pPr>
    <w:rPr>
      <w:i/>
      <w:sz w:val="16"/>
      <w:szCs w:val="16"/>
    </w:rPr>
  </w:style>
  <w:style w:type="paragraph" w:styleId="NormalWeb">
    <w:name w:val="Normal (Web)"/>
    <w:basedOn w:val="Normal"/>
    <w:uiPriority w:val="99"/>
    <w:semiHidden/>
    <w:unhideWhenUsed/>
    <w:rsid w:val="008553F7"/>
    <w:pPr>
      <w:spacing w:before="100" w:beforeAutospacing="1" w:after="100" w:afterAutospacing="1" w:line="240" w:lineRule="auto"/>
    </w:pPr>
    <w:rPr>
      <w:rFonts w:ascii="Times New Roman" w:hAnsi="Times New Roman" w:cs="Times New Roman"/>
      <w:sz w:val="24"/>
      <w:szCs w:val="24"/>
      <w:lang w:eastAsia="en-AU"/>
    </w:rPr>
  </w:style>
  <w:style w:type="character" w:customStyle="1" w:styleId="UnresolvedMention">
    <w:name w:val="Unresolved Mention"/>
    <w:basedOn w:val="DefaultParagraphFont"/>
    <w:uiPriority w:val="99"/>
    <w:semiHidden/>
    <w:unhideWhenUsed/>
    <w:rsid w:val="00420023"/>
    <w:rPr>
      <w:color w:val="605E5C"/>
      <w:shd w:val="clear" w:color="auto" w:fill="E1DFDD"/>
    </w:rPr>
  </w:style>
  <w:style w:type="character" w:customStyle="1" w:styleId="NEWItemNumber">
    <w:name w:val="NEW Item Number"/>
    <w:basedOn w:val="DefaultParagraphFont"/>
    <w:uiPriority w:val="1"/>
    <w:qFormat/>
    <w:rsid w:val="000C3B83"/>
    <w:rPr>
      <w:rFonts w:ascii="Arial" w:hAnsi="Arial"/>
      <w:b/>
      <w:caps w:val="0"/>
      <w:smallCaps w:val="0"/>
      <w:strike w:val="0"/>
      <w:dstrike w:val="0"/>
      <w:vanish w:val="0"/>
      <w:color w:val="FFFFFF" w:themeColor="background1"/>
      <w:u w:val="none" w:color="006341" w:themeColor="accent1"/>
      <w:bdr w:val="none" w:sz="0" w:space="0" w:color="auto"/>
      <w:shd w:val="clear" w:color="auto" w:fill="789D4A" w:themeFill="accent2"/>
      <w:vertAlign w:val="baseline"/>
    </w:rPr>
  </w:style>
  <w:style w:type="character" w:customStyle="1" w:styleId="DeletedItemNumber">
    <w:name w:val="Deleted Item Number"/>
    <w:basedOn w:val="NEWItemNumber"/>
    <w:uiPriority w:val="1"/>
    <w:qFormat/>
    <w:rsid w:val="000C3B83"/>
    <w:rPr>
      <w:rFonts w:ascii="Arial" w:hAnsi="Arial"/>
      <w:b/>
      <w:caps w:val="0"/>
      <w:smallCaps w:val="0"/>
      <w:strike w:val="0"/>
      <w:dstrike w:val="0"/>
      <w:vanish w:val="0"/>
      <w:color w:val="FFFFFF" w:themeColor="background1"/>
      <w:u w:val="none" w:color="006341" w:themeColor="accent1"/>
      <w:bdr w:val="none" w:sz="0" w:space="0" w:color="auto"/>
      <w:shd w:val="clear" w:color="auto" w:fill="A72B2A" w:themeFill="accent6"/>
      <w:vertAlign w:val="baseline"/>
    </w:rPr>
  </w:style>
  <w:style w:type="character" w:customStyle="1" w:styleId="AmendedItemNumber">
    <w:name w:val="Amended Item Number"/>
    <w:basedOn w:val="DeletedItemNumber"/>
    <w:uiPriority w:val="1"/>
    <w:qFormat/>
    <w:rsid w:val="000C3B83"/>
    <w:rPr>
      <w:rFonts w:ascii="Arial" w:hAnsi="Arial"/>
      <w:b/>
      <w:caps w:val="0"/>
      <w:smallCaps w:val="0"/>
      <w:strike w:val="0"/>
      <w:dstrike w:val="0"/>
      <w:vanish w:val="0"/>
      <w:color w:val="FFFFFF" w:themeColor="background1"/>
      <w:u w:val="none" w:color="006341" w:themeColor="accent1"/>
      <w:bdr w:val="none" w:sz="0" w:space="0" w:color="auto"/>
      <w:shd w:val="clear" w:color="auto" w:fill="5F84FF" w:themeFill="text2" w:themeFillTint="66"/>
      <w:vertAlign w:val="baseline"/>
    </w:rPr>
  </w:style>
  <w:style w:type="table" w:styleId="TableGrid">
    <w:name w:val="Table Grid"/>
    <w:basedOn w:val="TableNormal"/>
    <w:uiPriority w:val="39"/>
    <w:rsid w:val="00775C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7Colorful-Accent2">
    <w:name w:val="List Table 7 Colorful Accent 2"/>
    <w:basedOn w:val="TableNormal"/>
    <w:uiPriority w:val="52"/>
    <w:rsid w:val="00E401A9"/>
    <w:pPr>
      <w:spacing w:after="0" w:line="240" w:lineRule="auto"/>
    </w:pPr>
    <w:rPr>
      <w:color w:val="597537"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89D4A"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89D4A"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89D4A"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89D4A" w:themeColor="accent2"/>
        </w:tcBorders>
        <w:shd w:val="clear" w:color="auto" w:fill="FFFFFF" w:themeFill="background1"/>
      </w:tcPr>
    </w:tblStylePr>
    <w:tblStylePr w:type="band1Vert">
      <w:tblPr/>
      <w:tcPr>
        <w:shd w:val="clear" w:color="auto" w:fill="E4EDD8" w:themeFill="accent2" w:themeFillTint="33"/>
      </w:tcPr>
    </w:tblStylePr>
    <w:tblStylePr w:type="band1Horz">
      <w:tblPr/>
      <w:tcPr>
        <w:shd w:val="clear" w:color="auto" w:fill="E4EDD8"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1Light-Accent2">
    <w:name w:val="List Table 1 Light Accent 2"/>
    <w:basedOn w:val="TableNormal"/>
    <w:uiPriority w:val="46"/>
    <w:rsid w:val="00E401A9"/>
    <w:pPr>
      <w:spacing w:after="0" w:line="240" w:lineRule="auto"/>
    </w:pPr>
    <w:tblPr>
      <w:tblStyleRowBandSize w:val="1"/>
      <w:tblStyleColBandSize w:val="1"/>
    </w:tblPr>
    <w:tblStylePr w:type="firstRow">
      <w:rPr>
        <w:b/>
        <w:bCs/>
      </w:rPr>
      <w:tblPr/>
      <w:tcPr>
        <w:tcBorders>
          <w:bottom w:val="single" w:sz="4" w:space="0" w:color="AEC98D" w:themeColor="accent2" w:themeTint="99"/>
        </w:tcBorders>
      </w:tcPr>
    </w:tblStylePr>
    <w:tblStylePr w:type="lastRow">
      <w:rPr>
        <w:b/>
        <w:bCs/>
      </w:rPr>
      <w:tblPr/>
      <w:tcPr>
        <w:tcBorders>
          <w:top w:val="single" w:sz="4" w:space="0" w:color="AEC98D" w:themeColor="accent2" w:themeTint="99"/>
        </w:tcBorders>
      </w:tcPr>
    </w:tblStylePr>
    <w:tblStylePr w:type="firstCol">
      <w:rPr>
        <w:b/>
        <w:bCs/>
      </w:rPr>
    </w:tblStylePr>
    <w:tblStylePr w:type="lastCol">
      <w:rPr>
        <w:b/>
        <w:bCs/>
      </w:rPr>
    </w:tblStylePr>
    <w:tblStylePr w:type="band1Vert">
      <w:tblPr/>
      <w:tcPr>
        <w:shd w:val="clear" w:color="auto" w:fill="E4EDD8" w:themeFill="accent2" w:themeFillTint="33"/>
      </w:tcPr>
    </w:tblStylePr>
    <w:tblStylePr w:type="band1Horz">
      <w:tblPr/>
      <w:tcPr>
        <w:shd w:val="clear" w:color="auto" w:fill="E4EDD8"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6445513">
      <w:bodyDiv w:val="1"/>
      <w:marLeft w:val="0"/>
      <w:marRight w:val="0"/>
      <w:marTop w:val="0"/>
      <w:marBottom w:val="0"/>
      <w:divBdr>
        <w:top w:val="none" w:sz="0" w:space="0" w:color="auto"/>
        <w:left w:val="none" w:sz="0" w:space="0" w:color="auto"/>
        <w:bottom w:val="none" w:sz="0" w:space="0" w:color="auto"/>
        <w:right w:val="none" w:sz="0" w:space="0" w:color="auto"/>
      </w:divBdr>
    </w:div>
    <w:div w:id="949438345">
      <w:bodyDiv w:val="1"/>
      <w:marLeft w:val="0"/>
      <w:marRight w:val="0"/>
      <w:marTop w:val="0"/>
      <w:marBottom w:val="0"/>
      <w:divBdr>
        <w:top w:val="none" w:sz="0" w:space="0" w:color="auto"/>
        <w:left w:val="none" w:sz="0" w:space="0" w:color="auto"/>
        <w:bottom w:val="none" w:sz="0" w:space="0" w:color="auto"/>
        <w:right w:val="none" w:sz="0" w:space="0" w:color="auto"/>
      </w:divBdr>
    </w:div>
    <w:div w:id="2078548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www.health.gov.au/internet/main/publishing.nsf/content/mbsreviewtaskforce" TargetMode="External"/><Relationship Id="rId18" Type="http://schemas.openxmlformats.org/officeDocument/2006/relationships/hyperlink" Target="mailto:askMBS@health.gov.au"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http://www.mbsonline.gov.au/" TargetMode="External"/><Relationship Id="rId2" Type="http://schemas.openxmlformats.org/officeDocument/2006/relationships/styles" Target="styles.xml"/><Relationship Id="rId16" Type="http://schemas.openxmlformats.org/officeDocument/2006/relationships/hyperlink" Target="http://www.mbsonline.gov.au" TargetMode="External"/><Relationship Id="rId20" Type="http://schemas.openxmlformats.org/officeDocument/2006/relationships/hyperlink" Target="https://protect-au.mimecast.com/s/YGuBCWLVnwSNGEDUxwHa2?domain=mbsonline.gov.a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www1.health.gov.au/internet/main/publishing.nsf/Content/mbs-review-2018-taskforce-reports-cp/$File/Urology-Clinical-Committee.pdf" TargetMode="External"/><Relationship Id="rId10" Type="http://schemas.openxmlformats.org/officeDocument/2006/relationships/footer" Target="footer2.xml"/><Relationship Id="rId19" Type="http://schemas.openxmlformats.org/officeDocument/2006/relationships/hyperlink" Target="https://www.servicesaustralia.gov.au/organisations/health-professionals/news/all"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health.gov.au/"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mbsonline.gov.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DoH MBS Templates">
      <a:dk1>
        <a:sysClr val="windowText" lastClr="000000"/>
      </a:dk1>
      <a:lt1>
        <a:sysClr val="window" lastClr="FFFFFF"/>
      </a:lt1>
      <a:dk2>
        <a:srgbClr val="001A70"/>
      </a:dk2>
      <a:lt2>
        <a:srgbClr val="DDE5ED"/>
      </a:lt2>
      <a:accent1>
        <a:srgbClr val="006341"/>
      </a:accent1>
      <a:accent2>
        <a:srgbClr val="789D4A"/>
      </a:accent2>
      <a:accent3>
        <a:srgbClr val="C99700"/>
      </a:accent3>
      <a:accent4>
        <a:srgbClr val="897322"/>
      </a:accent4>
      <a:accent5>
        <a:srgbClr val="C05131"/>
      </a:accent5>
      <a:accent6>
        <a:srgbClr val="A72B2A"/>
      </a:accent6>
      <a:hlink>
        <a:srgbClr val="7D2248"/>
      </a:hlink>
      <a:folHlink>
        <a:srgbClr val="5F259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1584</Words>
  <Characters>9034</Characters>
  <Application>Microsoft Office Word</Application>
  <DocSecurity>0</DocSecurity>
  <Lines>75</Lines>
  <Paragraphs>21</Paragraphs>
  <ScaleCrop>false</ScaleCrop>
  <Company/>
  <LinksUpToDate>false</LinksUpToDate>
  <CharactersWithSpaces>10597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2020-10-09T00:59:00Z</dcterms:created>
  <dcterms:modified xsi:type="dcterms:W3CDTF">2020-10-09T02:56:00Z</dcterms:modified>
</cp:coreProperties>
</file>