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142C" w:rsidRDefault="00450130" w:rsidP="00743091">
      <w:pPr>
        <w:pStyle w:val="Heading1"/>
      </w:pPr>
      <w:bookmarkStart w:id="0" w:name="_Ref394501517"/>
      <w:r>
        <w:t xml:space="preserve">Changes to </w:t>
      </w:r>
      <w:r w:rsidR="000B6F92">
        <w:t>Gastroenterology Services (n</w:t>
      </w:r>
      <w:r w:rsidR="006C2366">
        <w:t>ot i</w:t>
      </w:r>
      <w:r>
        <w:t>ncluding Colonoscopy)</w:t>
      </w:r>
      <w:bookmarkEnd w:id="0"/>
    </w:p>
    <w:p w:rsidR="006D0E0F" w:rsidRDefault="00B16F94" w:rsidP="00743091">
      <w:pPr>
        <w:pStyle w:val="Footnote"/>
      </w:pPr>
      <w:r w:rsidRPr="00990076">
        <w:t xml:space="preserve">Last updated: </w:t>
      </w:r>
      <w:r w:rsidR="00D00B48">
        <w:t>08</w:t>
      </w:r>
      <w:r w:rsidR="00697964">
        <w:t>/</w:t>
      </w:r>
      <w:r w:rsidR="00D00B48">
        <w:t>11</w:t>
      </w:r>
      <w:r w:rsidR="00697964">
        <w:t>/2017</w:t>
      </w:r>
    </w:p>
    <w:p w:rsidR="00450130" w:rsidRDefault="00450130" w:rsidP="00450130">
      <w:pPr>
        <w:rPr>
          <w:rStyle w:val="Emphasis"/>
        </w:rPr>
      </w:pPr>
      <w:r>
        <w:rPr>
          <w:rStyle w:val="Emphasis"/>
        </w:rPr>
        <w:t>Effect</w:t>
      </w:r>
      <w:r w:rsidR="00FB4A20">
        <w:rPr>
          <w:rStyle w:val="Emphasis"/>
        </w:rPr>
        <w:t>ive from 1 November 2017</w:t>
      </w:r>
      <w:bookmarkStart w:id="1" w:name="_GoBack"/>
      <w:bookmarkEnd w:id="1"/>
    </w:p>
    <w:p w:rsidR="00450130" w:rsidRPr="00450130" w:rsidRDefault="00450130" w:rsidP="00450130">
      <w:pPr>
        <w:pStyle w:val="Heading3"/>
      </w:pPr>
      <w:r w:rsidRPr="00450130">
        <w:t>What do the changes involve?</w:t>
      </w:r>
    </w:p>
    <w:p w:rsidR="00450130" w:rsidRPr="00450130" w:rsidRDefault="00450130" w:rsidP="00450130">
      <w:r w:rsidRPr="00450130">
        <w:t>Changes will be made to a number of items for gastroenterology, as follows:</w:t>
      </w:r>
    </w:p>
    <w:p w:rsidR="00450130" w:rsidRPr="00450130" w:rsidRDefault="00450130" w:rsidP="00450130">
      <w:pPr>
        <w:rPr>
          <w:rStyle w:val="Strong"/>
        </w:rPr>
      </w:pPr>
      <w:r w:rsidRPr="00450130">
        <w:rPr>
          <w:rStyle w:val="Strong"/>
        </w:rPr>
        <w:t xml:space="preserve">1 - Capsule endoscopy </w:t>
      </w:r>
    </w:p>
    <w:p w:rsidR="00450130" w:rsidRPr="00450130" w:rsidRDefault="00450130" w:rsidP="00450130">
      <w:pPr>
        <w:pStyle w:val="Bullets"/>
      </w:pPr>
      <w:r w:rsidRPr="00450130">
        <w:t>Item 11820 will be amended to better describe the service and</w:t>
      </w:r>
      <w:r>
        <w:t xml:space="preserve"> eligible patient population.  </w:t>
      </w:r>
    </w:p>
    <w:p w:rsidR="00450130" w:rsidRPr="00450130" w:rsidRDefault="00450130" w:rsidP="00450130">
      <w:pPr>
        <w:rPr>
          <w:rStyle w:val="Strong"/>
        </w:rPr>
      </w:pPr>
      <w:r w:rsidRPr="00450130">
        <w:rPr>
          <w:rStyle w:val="Strong"/>
        </w:rPr>
        <w:t xml:space="preserve">2 – Upper gastrointestinal services </w:t>
      </w:r>
    </w:p>
    <w:p w:rsidR="00450130" w:rsidRPr="00450130" w:rsidRDefault="00450130" w:rsidP="00450130">
      <w:pPr>
        <w:pStyle w:val="Bullets"/>
      </w:pPr>
      <w:r w:rsidRPr="00450130">
        <w:t xml:space="preserve">Item 30478 will be amended to allow services currently provided under 30476 to be claimed. Item 30476 will be deleted from the schedule. </w:t>
      </w:r>
    </w:p>
    <w:p w:rsidR="00450130" w:rsidRPr="00450130" w:rsidRDefault="00450130" w:rsidP="00450130">
      <w:pPr>
        <w:pStyle w:val="Bullets"/>
      </w:pPr>
      <w:r w:rsidRPr="00450130">
        <w:t xml:space="preserve">Item 30479 will be amended to remove Argon Plasma Coagulation (APC) from the item descriptor. The item descriptor for 30478 will be amended to allow APC to be claimed.  </w:t>
      </w:r>
    </w:p>
    <w:p w:rsidR="00450130" w:rsidRPr="00450130" w:rsidRDefault="00450130" w:rsidP="00450130">
      <w:pPr>
        <w:pStyle w:val="Bullets"/>
      </w:pPr>
      <w:r w:rsidRPr="00450130">
        <w:t xml:space="preserve">Claiming restrictions will prevent MBS item 30479, 30473 and 30478 from being claimed together on the same day, for the same patient, by the same provider. </w:t>
      </w:r>
    </w:p>
    <w:p w:rsidR="00450130" w:rsidRDefault="00450130" w:rsidP="00450130">
      <w:pPr>
        <w:pStyle w:val="Bullets"/>
      </w:pPr>
      <w:r w:rsidRPr="00450130">
        <w:t>Item 30478 will be amended to allow for the claiming of push enteroscopy services currently claimed under item 30487.  Item 30487 has been deleted. Item 32095 is available for endoscopic examination of the small bowel via a stoma.</w:t>
      </w:r>
    </w:p>
    <w:p w:rsidR="00450130" w:rsidRPr="00450130" w:rsidRDefault="00450130" w:rsidP="00450130">
      <w:pPr>
        <w:rPr>
          <w:rStyle w:val="Strong"/>
        </w:rPr>
      </w:pPr>
      <w:r w:rsidRPr="00450130">
        <w:rPr>
          <w:rStyle w:val="Strong"/>
        </w:rPr>
        <w:t>3 - Endoscopic upper gastrointestinal stricture services</w:t>
      </w:r>
    </w:p>
    <w:p w:rsidR="00450130" w:rsidRPr="00450130" w:rsidRDefault="00450130" w:rsidP="00450130">
      <w:pPr>
        <w:pStyle w:val="Bullets"/>
      </w:pPr>
      <w:r w:rsidRPr="00450130">
        <w:t>Item 30475 will be amended to allow for the claiming of services currently provided under items 41819 and 41820 to be claimed. Items 41819 and 41820 have been deleted.</w:t>
      </w:r>
    </w:p>
    <w:p w:rsidR="00450130" w:rsidRPr="00450130" w:rsidRDefault="00450130" w:rsidP="00450130">
      <w:pPr>
        <w:pStyle w:val="Bullets"/>
      </w:pPr>
      <w:r w:rsidRPr="00450130">
        <w:t>The MBS fee for item 30475 will be the MBS fee for item 41819 of $348.95 which is higher than the current fee for item 30475.</w:t>
      </w:r>
    </w:p>
    <w:p w:rsidR="00450130" w:rsidRPr="00450130" w:rsidRDefault="00450130" w:rsidP="00450130">
      <w:pPr>
        <w:pStyle w:val="Bullets"/>
      </w:pPr>
      <w:r w:rsidRPr="00450130">
        <w:t>Item 41831 will be amended to indicate this service is specific to the treatment of achalasia.</w:t>
      </w:r>
    </w:p>
    <w:p w:rsidR="00450130" w:rsidRPr="00450130" w:rsidRDefault="00450130" w:rsidP="00450130">
      <w:pPr>
        <w:rPr>
          <w:rStyle w:val="Strong"/>
        </w:rPr>
      </w:pPr>
      <w:r w:rsidRPr="00450130">
        <w:rPr>
          <w:rStyle w:val="Strong"/>
        </w:rPr>
        <w:t>4 - Sigmoidoscopy/colonoscopy</w:t>
      </w:r>
    </w:p>
    <w:p w:rsidR="00450130" w:rsidRPr="00450130" w:rsidRDefault="00450130" w:rsidP="00450130">
      <w:pPr>
        <w:pStyle w:val="Bullets"/>
      </w:pPr>
      <w:r w:rsidRPr="00450130">
        <w:t xml:space="preserve">The item descriptors for 32084 and 32087 will be amended to better define the extent of the examinations covered under these items  to ‘does not reach the caecum’ and to remove reference to ‘fibreoptic’ as these days  scopes are digital.  </w:t>
      </w:r>
    </w:p>
    <w:p w:rsidR="00450130" w:rsidRPr="00450130" w:rsidRDefault="00450130" w:rsidP="00450130">
      <w:pPr>
        <w:pStyle w:val="Bullets"/>
      </w:pPr>
      <w:r w:rsidRPr="00450130">
        <w:t>The item descriptor for 32087 will also be amended to remove specific reference to APC to enable other therapies to be used.</w:t>
      </w:r>
    </w:p>
    <w:p w:rsidR="00450130" w:rsidRPr="00450130" w:rsidRDefault="00450130" w:rsidP="00450130">
      <w:pPr>
        <w:pStyle w:val="Bullets"/>
      </w:pPr>
      <w:r w:rsidRPr="00450130">
        <w:t>Introduce claiming restrictions to prevent MBS items 32084 and 32087 from being claimed with other colonoscopy items 32090 and 32093 on the same day, same patient, same provider, unless the subsequent service has been provided under a second episode of sedation/anaesthesia.</w:t>
      </w:r>
    </w:p>
    <w:p w:rsidR="00450130" w:rsidRPr="00450130" w:rsidRDefault="00450130" w:rsidP="00450130">
      <w:pPr>
        <w:rPr>
          <w:rStyle w:val="Strong"/>
        </w:rPr>
      </w:pPr>
      <w:r w:rsidRPr="00450130">
        <w:rPr>
          <w:rStyle w:val="Strong"/>
        </w:rPr>
        <w:t>5 - Endoscopic ultrasound services</w:t>
      </w:r>
    </w:p>
    <w:p w:rsidR="00450130" w:rsidRPr="00450130" w:rsidRDefault="00450130" w:rsidP="00450130">
      <w:pPr>
        <w:pStyle w:val="Bullets"/>
      </w:pPr>
      <w:r w:rsidRPr="00450130">
        <w:t xml:space="preserve">Items 30688, 30690, 30692, 30694 will be amended to remove the current restrictions on the claiming of certain other items during the same episode of care. </w:t>
      </w:r>
    </w:p>
    <w:p w:rsidR="00450130" w:rsidRPr="00450130" w:rsidRDefault="00450130" w:rsidP="00450130">
      <w:pPr>
        <w:pStyle w:val="Bullets"/>
      </w:pPr>
      <w:r w:rsidRPr="00450130">
        <w:lastRenderedPageBreak/>
        <w:t>Interventional items 30484, 30485, 30491, 30494 will be eligible for an MBS payment on the same day, same patient, same provider as an endoscopic ultrasound service.</w:t>
      </w:r>
    </w:p>
    <w:p w:rsidR="00450130" w:rsidRPr="00450130" w:rsidRDefault="00450130" w:rsidP="00450130">
      <w:pPr>
        <w:rPr>
          <w:rStyle w:val="Strong"/>
        </w:rPr>
      </w:pPr>
      <w:r w:rsidRPr="00450130">
        <w:rPr>
          <w:rStyle w:val="Strong"/>
        </w:rPr>
        <w:t>6 – Biliary manometry</w:t>
      </w:r>
    </w:p>
    <w:p w:rsidR="00450130" w:rsidRPr="00450130" w:rsidRDefault="00450130" w:rsidP="00450130">
      <w:pPr>
        <w:pStyle w:val="Bullets"/>
      </w:pPr>
      <w:r w:rsidRPr="00450130">
        <w:t>Item 30493 will be removed from the schedule as the service is obsolete.</w:t>
      </w:r>
    </w:p>
    <w:p w:rsidR="00450130" w:rsidRPr="00450130" w:rsidRDefault="00450130" w:rsidP="00450130">
      <w:pPr>
        <w:pStyle w:val="Heading3"/>
      </w:pPr>
      <w:r>
        <w:t>Why is the Government making this change?</w:t>
      </w:r>
    </w:p>
    <w:p w:rsidR="00450130" w:rsidRPr="00450130" w:rsidRDefault="00450130" w:rsidP="00450130">
      <w:r w:rsidRPr="00450130">
        <w:t>The changes to MBS items for gastroenterology are intended to align MBS items with clinical best practice, better describe/prescribe indications and ensure appropriate claiming of MBS items:</w:t>
      </w:r>
    </w:p>
    <w:p w:rsidR="00450130" w:rsidRDefault="00450130" w:rsidP="00450130">
      <w:r>
        <w:t>These changes are based on recommendations of the Medicare Benefits Schedule Review Taskforce.</w:t>
      </w:r>
    </w:p>
    <w:p w:rsidR="00450130" w:rsidRPr="00450130" w:rsidRDefault="00450130" w:rsidP="009B55A1">
      <w:pPr>
        <w:pStyle w:val="Heading3"/>
      </w:pPr>
      <w:r>
        <w:t xml:space="preserve">What does this </w:t>
      </w:r>
      <w:r w:rsidRPr="00450130">
        <w:t>mean for MBS claiming?</w:t>
      </w:r>
    </w:p>
    <w:p w:rsidR="00450130" w:rsidRPr="00450130" w:rsidRDefault="00450130" w:rsidP="00450130">
      <w:r w:rsidRPr="00450130">
        <w:t>All practitioners that perform these services will continue to be able to claim the relevant MBS items, provided the services reflect the updated descriptions.</w:t>
      </w:r>
    </w:p>
    <w:p w:rsidR="00450130" w:rsidRPr="00450130" w:rsidRDefault="00450130" w:rsidP="00450130">
      <w:pPr>
        <w:pStyle w:val="Heading3"/>
      </w:pPr>
      <w:r w:rsidRPr="00D811A6">
        <w:t>Change to item description</w:t>
      </w:r>
      <w:r w:rsidRPr="00450130">
        <w:t xml:space="preserve">/fees: </w:t>
      </w:r>
    </w:p>
    <w:p w:rsidR="00450130" w:rsidRPr="00450130" w:rsidRDefault="00450130" w:rsidP="00450130">
      <w:r w:rsidRPr="00450130">
        <w:t>Items to be deleted from the MBS:</w:t>
      </w:r>
    </w:p>
    <w:p w:rsidR="00450130" w:rsidRPr="00450130" w:rsidRDefault="00450130" w:rsidP="00450130">
      <w:r w:rsidRPr="00450130">
        <w:t>30487, 41819, 41820, 30493, 30476</w:t>
      </w:r>
    </w:p>
    <w:p w:rsidR="00450130" w:rsidRDefault="00FC0CBA" w:rsidP="00450130">
      <w:r>
        <w:t>Amendments to items on the MBS:</w:t>
      </w:r>
    </w:p>
    <w:p w:rsidR="002416D6" w:rsidRDefault="002416D6" w:rsidP="00450130"/>
    <w:p w:rsidR="004A1DF7" w:rsidRPr="00587FCC" w:rsidRDefault="004A1DF7" w:rsidP="004A1DF7">
      <w:pPr>
        <w:spacing w:after="0"/>
        <w:rPr>
          <w:bCs/>
          <w:u w:val="single"/>
        </w:rPr>
      </w:pPr>
    </w:p>
    <w:tbl>
      <w:tblPr>
        <w:tblStyle w:val="TableGrid"/>
        <w:tblW w:w="0" w:type="auto"/>
        <w:tblInd w:w="108" w:type="dxa"/>
        <w:tblLook w:val="01E0" w:firstRow="1" w:lastRow="1" w:firstColumn="1" w:lastColumn="1" w:noHBand="0" w:noVBand="0"/>
      </w:tblPr>
      <w:tblGrid>
        <w:gridCol w:w="912"/>
        <w:gridCol w:w="8222"/>
      </w:tblGrid>
      <w:tr w:rsidR="004A1DF7" w:rsidRPr="00A46A8F" w:rsidTr="00543E78">
        <w:tc>
          <w:tcPr>
            <w:tcW w:w="912" w:type="dxa"/>
          </w:tcPr>
          <w:p w:rsidR="004A1DF7" w:rsidRPr="00A46A8F" w:rsidRDefault="004A1DF7" w:rsidP="00543E78">
            <w:pPr>
              <w:autoSpaceDE w:val="0"/>
              <w:autoSpaceDN w:val="0"/>
              <w:adjustRightInd w:val="0"/>
              <w:rPr>
                <w:sz w:val="20"/>
                <w:szCs w:val="20"/>
              </w:rPr>
            </w:pPr>
            <w:r w:rsidRPr="00A46A8F">
              <w:rPr>
                <w:sz w:val="20"/>
                <w:szCs w:val="20"/>
              </w:rPr>
              <w:t>11820</w:t>
            </w:r>
          </w:p>
        </w:tc>
        <w:tc>
          <w:tcPr>
            <w:tcW w:w="8222" w:type="dxa"/>
          </w:tcPr>
          <w:p w:rsidR="00FC0CBA" w:rsidRDefault="00FC0CBA" w:rsidP="00FC0CBA">
            <w:r w:rsidRPr="00FC0CBA">
              <w:rPr>
                <w:lang w:eastAsia="en-AU"/>
              </w:rPr>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rsidR="00FC0CBA" w:rsidRPr="00FC0CBA" w:rsidRDefault="00FC0CBA" w:rsidP="00FC0CBA">
            <w:pPr>
              <w:rPr>
                <w:lang w:eastAsia="en-AU"/>
              </w:rPr>
            </w:pPr>
          </w:p>
          <w:p w:rsidR="00FC0CBA" w:rsidRDefault="00FC0CBA" w:rsidP="00FC0CBA">
            <w:r w:rsidRPr="00FC0CBA">
              <w:rPr>
                <w:lang w:eastAsia="en-AU"/>
              </w:rPr>
              <w:t>(a) the service is provided to a patient who:</w:t>
            </w:r>
          </w:p>
          <w:p w:rsidR="00FC0CBA" w:rsidRPr="00FC0CBA" w:rsidRDefault="00FC0CBA" w:rsidP="00FC0CBA">
            <w:pPr>
              <w:rPr>
                <w:lang w:eastAsia="en-AU"/>
              </w:rPr>
            </w:pPr>
          </w:p>
          <w:p w:rsidR="00FC0CBA" w:rsidRDefault="00FC0CBA" w:rsidP="00FC0CBA">
            <w:r w:rsidRPr="00FC0CBA">
              <w:rPr>
                <w:lang w:eastAsia="en-AU"/>
              </w:rPr>
              <w:t>(i) has overt gastrointestinal bleeding; or</w:t>
            </w:r>
          </w:p>
          <w:p w:rsidR="00FC0CBA" w:rsidRPr="00FC0CBA" w:rsidRDefault="00FC0CBA" w:rsidP="00FC0CBA">
            <w:pPr>
              <w:rPr>
                <w:lang w:eastAsia="en-AU"/>
              </w:rPr>
            </w:pPr>
          </w:p>
          <w:p w:rsidR="00FC0CBA" w:rsidRDefault="00FC0CBA" w:rsidP="00FC0CBA">
            <w:r w:rsidRPr="00FC0CBA">
              <w:rPr>
                <w:lang w:eastAsia="en-AU"/>
              </w:rPr>
              <w:t>(ii) has gastrointestinal bleeding that is recurrent or persistent, and iron deficiency anaemia that is not due to coeliac disease, and, if the patient also has menorrhagia, has had the menorrhagia considered and managed; and</w:t>
            </w:r>
          </w:p>
          <w:p w:rsidR="00FC0CBA" w:rsidRPr="00FC0CBA" w:rsidRDefault="00FC0CBA" w:rsidP="00FC0CBA">
            <w:pPr>
              <w:rPr>
                <w:lang w:eastAsia="en-AU"/>
              </w:rPr>
            </w:pPr>
          </w:p>
          <w:p w:rsidR="00FC0CBA" w:rsidRDefault="00FC0CBA" w:rsidP="00FC0CBA">
            <w:r w:rsidRPr="00FC0CBA">
              <w:rPr>
                <w:lang w:eastAsia="en-AU"/>
              </w:rPr>
              <w:t>(b)    an upper gastrointestinal endoscopy and a colonoscopy have been performed on the patient and have not identified the cause of the</w:t>
            </w:r>
            <w:r w:rsidRPr="00FC0CBA">
              <w:rPr>
                <w:lang w:eastAsia="en-AU"/>
              </w:rPr>
              <w:br/>
              <w:t>   bleeding; and</w:t>
            </w:r>
          </w:p>
          <w:p w:rsidR="00FC0CBA" w:rsidRPr="00FC0CBA" w:rsidRDefault="00FC0CBA" w:rsidP="00FC0CBA">
            <w:pPr>
              <w:rPr>
                <w:lang w:eastAsia="en-AU"/>
              </w:rPr>
            </w:pPr>
          </w:p>
          <w:p w:rsidR="00FC0CBA" w:rsidRDefault="00FC0CBA" w:rsidP="00FC0CBA">
            <w:r w:rsidRPr="00FC0CBA">
              <w:rPr>
                <w:lang w:eastAsia="en-AU"/>
              </w:rPr>
              <w:t>(c)  the service has not been provided to the same patient on more than 2 occasions in the preceding 12 months; and</w:t>
            </w:r>
          </w:p>
          <w:p w:rsidR="00FC0CBA" w:rsidRPr="00FC0CBA" w:rsidRDefault="00FC0CBA" w:rsidP="00FC0CBA">
            <w:pPr>
              <w:rPr>
                <w:lang w:eastAsia="en-AU"/>
              </w:rPr>
            </w:pPr>
          </w:p>
          <w:p w:rsidR="00FC0CBA" w:rsidRDefault="00FC0CBA" w:rsidP="00FC0CBA">
            <w:r w:rsidRPr="00FC0CBA">
              <w:rPr>
                <w:lang w:eastAsia="en-AU"/>
              </w:rPr>
              <w:t>(d)  the service is performed by a specialist or consultant physician with endoscopic training that is recognised by the Conjoint Committee for the Recognition of Training in Gastrointestinal Endoscopy; and</w:t>
            </w:r>
          </w:p>
          <w:p w:rsidR="00FC0CBA" w:rsidRPr="00FC0CBA" w:rsidRDefault="00FC0CBA" w:rsidP="00FC0CBA">
            <w:pPr>
              <w:rPr>
                <w:lang w:eastAsia="en-AU"/>
              </w:rPr>
            </w:pPr>
          </w:p>
          <w:p w:rsidR="00FC0CBA" w:rsidRPr="00FC0CBA" w:rsidRDefault="00FC0CBA" w:rsidP="00FC0CBA">
            <w:pPr>
              <w:rPr>
                <w:lang w:eastAsia="en-AU"/>
              </w:rPr>
            </w:pPr>
            <w:r w:rsidRPr="00FC0CBA">
              <w:rPr>
                <w:lang w:eastAsia="en-AU"/>
              </w:rPr>
              <w:t xml:space="preserve">(e)   the service is not associated with a service to which item 30680, 30682, </w:t>
            </w:r>
            <w:r w:rsidRPr="00FC0CBA">
              <w:rPr>
                <w:lang w:eastAsia="en-AU"/>
              </w:rPr>
              <w:lastRenderedPageBreak/>
              <w:t>30684 or 30686 applies</w:t>
            </w:r>
          </w:p>
          <w:p w:rsidR="00FC0CBA" w:rsidRPr="00FC0CBA" w:rsidRDefault="00FC0CBA" w:rsidP="00FC0CBA">
            <w:pPr>
              <w:rPr>
                <w:lang w:eastAsia="en-AU"/>
              </w:rPr>
            </w:pPr>
            <w:r w:rsidRPr="00FC0CBA">
              <w:rPr>
                <w:lang w:eastAsia="en-AU"/>
              </w:rPr>
              <w:t> </w:t>
            </w:r>
          </w:p>
          <w:p w:rsidR="00FC0CBA" w:rsidRPr="00FC0CBA" w:rsidRDefault="00FC0CBA" w:rsidP="00FC0CBA">
            <w:pPr>
              <w:rPr>
                <w:lang w:eastAsia="en-AU"/>
              </w:rPr>
            </w:pPr>
          </w:p>
          <w:p w:rsidR="004A1DF7" w:rsidRPr="0028693B" w:rsidRDefault="00FC0CBA" w:rsidP="0028693B">
            <w:pPr>
              <w:rPr>
                <w:lang w:eastAsia="en-AU"/>
              </w:rPr>
            </w:pPr>
            <w:r w:rsidRPr="00FC0CBA">
              <w:rPr>
                <w:lang w:eastAsia="en-AU"/>
              </w:rPr>
              <w:t>Fee:</w:t>
            </w:r>
            <w:r w:rsidRPr="00FC0CBA">
              <w:rPr>
                <w:rFonts w:eastAsiaTheme="majorEastAsia"/>
                <w:lang w:eastAsia="en-AU"/>
              </w:rPr>
              <w:t> </w:t>
            </w:r>
            <w:r w:rsidRPr="00FC0CBA">
              <w:rPr>
                <w:lang w:eastAsia="en-AU"/>
              </w:rPr>
              <w:t>$2,039.20</w:t>
            </w:r>
            <w:r w:rsidRPr="00FC0CBA">
              <w:rPr>
                <w:rFonts w:eastAsiaTheme="majorEastAsia"/>
                <w:lang w:eastAsia="en-AU"/>
              </w:rPr>
              <w:t> </w:t>
            </w:r>
            <w:r w:rsidRPr="00FC0CBA">
              <w:rPr>
                <w:lang w:eastAsia="en-AU"/>
              </w:rPr>
              <w:t>Benefit:</w:t>
            </w:r>
            <w:r w:rsidRPr="00FC0CBA">
              <w:rPr>
                <w:rFonts w:eastAsiaTheme="majorEastAsia"/>
                <w:lang w:eastAsia="en-AU"/>
              </w:rPr>
              <w:t> </w:t>
            </w:r>
            <w:r w:rsidRPr="00FC0CBA">
              <w:rPr>
                <w:lang w:eastAsia="en-AU"/>
              </w:rPr>
              <w:t>75% = $1,529.40 85% = $1,957.50</w:t>
            </w:r>
          </w:p>
        </w:tc>
      </w:tr>
      <w:tr w:rsidR="004A1DF7" w:rsidRPr="00A46A8F" w:rsidTr="00543E78">
        <w:tc>
          <w:tcPr>
            <w:tcW w:w="912" w:type="dxa"/>
          </w:tcPr>
          <w:p w:rsidR="004A1DF7" w:rsidRPr="00A46A8F" w:rsidRDefault="004A1DF7" w:rsidP="00543E78">
            <w:pPr>
              <w:rPr>
                <w:sz w:val="20"/>
                <w:szCs w:val="20"/>
              </w:rPr>
            </w:pPr>
            <w:r w:rsidRPr="00A46A8F">
              <w:rPr>
                <w:sz w:val="20"/>
                <w:szCs w:val="20"/>
              </w:rPr>
              <w:lastRenderedPageBreak/>
              <w:t>30473</w:t>
            </w:r>
          </w:p>
        </w:tc>
        <w:tc>
          <w:tcPr>
            <w:tcW w:w="8222" w:type="dxa"/>
          </w:tcPr>
          <w:p w:rsidR="00FC0CBA" w:rsidRPr="00FC0CBA" w:rsidRDefault="00FC0CBA" w:rsidP="00FC0CBA">
            <w:r w:rsidRPr="00FC0CBA">
              <w:t>Oesophagoscopy (not being a service to which item 41816 or 41822 applies), gastroscopy, duodenoscopy or panendoscopy (1 or more such procedures), with or without biopsy, not being a service associated with a service to which item 30478 or 30479 applies.</w:t>
            </w:r>
          </w:p>
          <w:p w:rsidR="00FC0CBA" w:rsidRDefault="00FC0CBA" w:rsidP="00FC0CBA"/>
          <w:p w:rsidR="00FC0CBA" w:rsidRPr="00FC0CBA" w:rsidRDefault="00FB4A20" w:rsidP="00FC0CBA">
            <w:hyperlink r:id="rId9" w:history="1">
              <w:r w:rsidR="00FC0CBA"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4A1DF7" w:rsidRPr="00FC0CBA" w:rsidRDefault="00FC0CBA" w:rsidP="00543E78">
            <w:r w:rsidRPr="00FC0CBA">
              <w:t>Fee:</w:t>
            </w:r>
            <w:r w:rsidRPr="00FC0CBA">
              <w:rPr>
                <w:rFonts w:eastAsiaTheme="majorEastAsia"/>
              </w:rPr>
              <w:t> </w:t>
            </w:r>
            <w:r w:rsidRPr="00FC0CBA">
              <w:t>$177.10</w:t>
            </w:r>
            <w:r w:rsidRPr="00FC0CBA">
              <w:rPr>
                <w:rFonts w:eastAsiaTheme="majorEastAsia"/>
              </w:rPr>
              <w:t> </w:t>
            </w:r>
            <w:r w:rsidRPr="00FC0CBA">
              <w:t>Benefit:</w:t>
            </w:r>
            <w:r w:rsidRPr="00FC0CBA">
              <w:rPr>
                <w:rFonts w:eastAsiaTheme="majorEastAsia"/>
              </w:rPr>
              <w:t> </w:t>
            </w:r>
            <w:r w:rsidRPr="00FC0CBA">
              <w:t>75% = $132.85 85% = $150.55</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t>30478</w:t>
            </w:r>
          </w:p>
        </w:tc>
        <w:tc>
          <w:tcPr>
            <w:tcW w:w="8222" w:type="dxa"/>
          </w:tcPr>
          <w:p w:rsidR="00FC0CBA" w:rsidRDefault="00FC0CBA" w:rsidP="00FC0CBA">
            <w:r w:rsidRPr="00FC0CBA">
              <w:t>Oesophagoscopy (other than a service to which item 41816, 41822 or 41825 applies), gastroscopy, duodenoscopy, panendoscopy or push enteroscopy, one or more such procedures, if:</w:t>
            </w:r>
          </w:p>
          <w:p w:rsidR="00FC0CBA" w:rsidRPr="00FC0CBA" w:rsidRDefault="00FC0CBA" w:rsidP="00FC0CBA"/>
          <w:p w:rsidR="00FC0CBA" w:rsidRPr="00FC0CBA" w:rsidRDefault="00FC0CBA" w:rsidP="00FC0CBA">
            <w:r w:rsidRPr="00FC0CBA">
              <w:t>(a) the procedures are performed using one or more of the following endoscopic procedures:</w:t>
            </w:r>
          </w:p>
          <w:p w:rsidR="00FC0CBA" w:rsidRPr="00FC0CBA" w:rsidRDefault="00FC0CBA" w:rsidP="00FC0CBA">
            <w:r w:rsidRPr="00FC0CBA">
              <w:t>(i) polypectomy;</w:t>
            </w:r>
          </w:p>
          <w:p w:rsidR="00FC0CBA" w:rsidRPr="00FC0CBA" w:rsidRDefault="00FC0CBA" w:rsidP="00FC0CBA">
            <w:r w:rsidRPr="00FC0CBA">
              <w:t>(ii) sclerosing or adrenalin injections;</w:t>
            </w:r>
          </w:p>
          <w:p w:rsidR="00FC0CBA" w:rsidRPr="00FC0CBA" w:rsidRDefault="00FC0CBA" w:rsidP="00FC0CBA">
            <w:r w:rsidRPr="00FC0CBA">
              <w:t>(iii) banding;</w:t>
            </w:r>
          </w:p>
          <w:p w:rsidR="00FC0CBA" w:rsidRPr="00FC0CBA" w:rsidRDefault="00FC0CBA" w:rsidP="00FC0CBA">
            <w:r w:rsidRPr="00FC0CBA">
              <w:t>(iv) endoscopic clips;</w:t>
            </w:r>
          </w:p>
          <w:p w:rsidR="00FC0CBA" w:rsidRPr="00FC0CBA" w:rsidRDefault="00FC0CBA" w:rsidP="00FC0CBA">
            <w:r w:rsidRPr="00FC0CBA">
              <w:t>(v) haemostatic powders;</w:t>
            </w:r>
          </w:p>
          <w:p w:rsidR="00FC0CBA" w:rsidRPr="00FC0CBA" w:rsidRDefault="00FC0CBA" w:rsidP="00FC0CBA">
            <w:r w:rsidRPr="00FC0CBA">
              <w:t>(vi) diathermy;</w:t>
            </w:r>
          </w:p>
          <w:p w:rsidR="00FC0CBA" w:rsidRPr="00FC0CBA" w:rsidRDefault="00FC0CBA" w:rsidP="00FC0CBA">
            <w:r w:rsidRPr="00FC0CBA">
              <w:t>(vii) argon plasma coagulation; and</w:t>
            </w:r>
          </w:p>
          <w:p w:rsidR="00FC0CBA" w:rsidRPr="00FC0CBA" w:rsidRDefault="00FC0CBA" w:rsidP="00FC0CBA">
            <w:r w:rsidRPr="00FC0CBA">
              <w:t> </w:t>
            </w:r>
          </w:p>
          <w:p w:rsidR="00FC0CBA" w:rsidRPr="00FC0CBA" w:rsidRDefault="00FC0CBA" w:rsidP="00FC0CBA">
            <w:r w:rsidRPr="00FC0CBA">
              <w:t>(b) the procedures are for the treatment of one or more of the following:</w:t>
            </w:r>
          </w:p>
          <w:p w:rsidR="00FC0CBA" w:rsidRPr="00FC0CBA" w:rsidRDefault="00FC0CBA" w:rsidP="00FC0CBA">
            <w:r w:rsidRPr="00FC0CBA">
              <w:t>(i) upper gastrointestinal tract bleeding;</w:t>
            </w:r>
          </w:p>
          <w:p w:rsidR="00FC0CBA" w:rsidRPr="00FC0CBA" w:rsidRDefault="00FC0CBA" w:rsidP="00FC0CBA">
            <w:r w:rsidRPr="00FC0CBA">
              <w:t>(ii) polyps;</w:t>
            </w:r>
          </w:p>
          <w:p w:rsidR="00FC0CBA" w:rsidRPr="00FC0CBA" w:rsidRDefault="00FC0CBA" w:rsidP="00FC0CBA">
            <w:r w:rsidRPr="00FC0CBA">
              <w:t>(iii) removal of foreign body;</w:t>
            </w:r>
          </w:p>
          <w:p w:rsidR="00FC0CBA" w:rsidRPr="00FC0CBA" w:rsidRDefault="00FC0CBA" w:rsidP="00FC0CBA">
            <w:r w:rsidRPr="00FC0CBA">
              <w:t>(iv) oesophageal or gastric varices;</w:t>
            </w:r>
          </w:p>
          <w:p w:rsidR="00FC0CBA" w:rsidRPr="00FC0CBA" w:rsidRDefault="00FC0CBA" w:rsidP="00FC0CBA">
            <w:r w:rsidRPr="00FC0CBA">
              <w:t>(v) peptic ulcers;</w:t>
            </w:r>
          </w:p>
          <w:p w:rsidR="00FC0CBA" w:rsidRPr="00FC0CBA" w:rsidRDefault="00FC0CBA" w:rsidP="00FC0CBA">
            <w:r w:rsidRPr="00FC0CBA">
              <w:t>(vi) neoplasia;</w:t>
            </w:r>
          </w:p>
          <w:p w:rsidR="00FC0CBA" w:rsidRPr="00FC0CBA" w:rsidRDefault="00FC0CBA" w:rsidP="00FC0CBA">
            <w:r w:rsidRPr="00FC0CBA">
              <w:t>(vii) benign vascular lesions;</w:t>
            </w:r>
          </w:p>
          <w:p w:rsidR="00FC0CBA" w:rsidRPr="00FC0CBA" w:rsidRDefault="00FC0CBA" w:rsidP="00FC0CBA">
            <w:r w:rsidRPr="00FC0CBA">
              <w:t>(viii) strictures of the gastrointestinal tract;</w:t>
            </w:r>
          </w:p>
          <w:p w:rsidR="00FC0CBA" w:rsidRDefault="00FC0CBA" w:rsidP="00FC0CBA">
            <w:r w:rsidRPr="00FC0CBA">
              <w:t>(ix) tumorous overgrowth through or over oesophageal stents;</w:t>
            </w:r>
          </w:p>
          <w:p w:rsidR="00FC0CBA" w:rsidRDefault="00FC0CBA" w:rsidP="00FC0CBA"/>
          <w:p w:rsidR="00FC0CBA" w:rsidRPr="00FC0CBA" w:rsidRDefault="00FC0CBA" w:rsidP="00FC0CBA">
            <w:r w:rsidRPr="00FC0CBA">
              <w:t>other than a service associated with a service to which item 30473 or 30479 applies</w:t>
            </w:r>
          </w:p>
          <w:p w:rsidR="00FC0CBA" w:rsidRPr="00FC0CBA" w:rsidRDefault="00FC0CBA" w:rsidP="00FC0CBA">
            <w:r w:rsidRPr="00FC0CBA">
              <w:t> </w:t>
            </w:r>
          </w:p>
          <w:p w:rsidR="00FC0CBA" w:rsidRPr="00FC0CBA" w:rsidRDefault="00FB4A20" w:rsidP="00FC0CBA">
            <w:hyperlink r:id="rId10" w:history="1">
              <w:r w:rsidR="00FC0CBA"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4A1DF7" w:rsidRPr="0028693B" w:rsidRDefault="00FC0CBA" w:rsidP="00543E78">
            <w:r w:rsidRPr="00FC0CBA">
              <w:t>Fee:</w:t>
            </w:r>
            <w:r w:rsidRPr="00FC0CBA">
              <w:rPr>
                <w:rFonts w:eastAsiaTheme="majorEastAsia"/>
              </w:rPr>
              <w:t> </w:t>
            </w:r>
            <w:r w:rsidRPr="00FC0CBA">
              <w:t>$245.55</w:t>
            </w:r>
            <w:r w:rsidRPr="00FC0CBA">
              <w:rPr>
                <w:rFonts w:eastAsiaTheme="majorEastAsia"/>
              </w:rPr>
              <w:t> </w:t>
            </w:r>
            <w:r w:rsidRPr="00FC0CBA">
              <w:t>Benefit:</w:t>
            </w:r>
            <w:r w:rsidRPr="00FC0CBA">
              <w:rPr>
                <w:rFonts w:eastAsiaTheme="majorEastAsia"/>
              </w:rPr>
              <w:t> </w:t>
            </w:r>
            <w:r w:rsidRPr="00FC0CBA">
              <w:t>75% = $184.20 85% = $208.75</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t>30479</w:t>
            </w:r>
          </w:p>
        </w:tc>
        <w:tc>
          <w:tcPr>
            <w:tcW w:w="8222" w:type="dxa"/>
          </w:tcPr>
          <w:p w:rsidR="00FC0CBA" w:rsidRPr="00FC0CBA" w:rsidRDefault="00FC0CBA" w:rsidP="00FC0CBA">
            <w:r w:rsidRPr="00FC0CBA">
              <w:t>Endoscopy with laser therapy, for the treatment of one or more of the following:</w:t>
            </w:r>
          </w:p>
          <w:p w:rsidR="00FC0CBA" w:rsidRPr="00FC0CBA" w:rsidRDefault="00FC0CBA" w:rsidP="00FC0CBA">
            <w:r w:rsidRPr="00FC0CBA">
              <w:t>(a) neoplasia;</w:t>
            </w:r>
          </w:p>
          <w:p w:rsidR="00FC0CBA" w:rsidRPr="00FC0CBA" w:rsidRDefault="00FC0CBA" w:rsidP="00FC0CBA">
            <w:r w:rsidRPr="00FC0CBA">
              <w:t>(b) benign vascular lesions;</w:t>
            </w:r>
          </w:p>
          <w:p w:rsidR="00FC0CBA" w:rsidRPr="00FC0CBA" w:rsidRDefault="00FC0CBA" w:rsidP="00FC0CBA">
            <w:r w:rsidRPr="00FC0CBA">
              <w:t>(c) strictures of the gastrointestinal tract;</w:t>
            </w:r>
          </w:p>
          <w:p w:rsidR="00FC0CBA" w:rsidRPr="00FC0CBA" w:rsidRDefault="00FC0CBA" w:rsidP="00FC0CBA">
            <w:r w:rsidRPr="00FC0CBA">
              <w:t>(d) tumorous overgrowth through or over oesophageal stents;</w:t>
            </w:r>
          </w:p>
          <w:p w:rsidR="00FC0CBA" w:rsidRPr="00FC0CBA" w:rsidRDefault="00FC0CBA" w:rsidP="00FC0CBA">
            <w:r w:rsidRPr="00FC0CBA">
              <w:t>(e) peptic ulcers;</w:t>
            </w:r>
          </w:p>
          <w:p w:rsidR="00FC0CBA" w:rsidRPr="00FC0CBA" w:rsidRDefault="00FC0CBA" w:rsidP="00FC0CBA">
            <w:r w:rsidRPr="00FC0CBA">
              <w:lastRenderedPageBreak/>
              <w:t>(f) angiodysplasia;</w:t>
            </w:r>
          </w:p>
          <w:p w:rsidR="00FC0CBA" w:rsidRPr="00FC0CBA" w:rsidRDefault="00FC0CBA" w:rsidP="00FC0CBA">
            <w:r w:rsidRPr="00FC0CBA">
              <w:t>(g) gastric antral vascular ectasia;</w:t>
            </w:r>
          </w:p>
          <w:p w:rsidR="00FC0CBA" w:rsidRPr="00FC0CBA" w:rsidRDefault="00FC0CBA" w:rsidP="00FC0CBA">
            <w:r w:rsidRPr="00FC0CBA">
              <w:t>(h) post-polypectomy bleeding;</w:t>
            </w:r>
          </w:p>
          <w:p w:rsidR="00FC0CBA" w:rsidRPr="00FC0CBA" w:rsidRDefault="00FC0CBA" w:rsidP="00FC0CBA">
            <w:r w:rsidRPr="00FC0CBA">
              <w:t> </w:t>
            </w:r>
          </w:p>
          <w:p w:rsidR="00FC0CBA" w:rsidRDefault="00FC0CBA" w:rsidP="00FC0CBA">
            <w:r w:rsidRPr="00FC0CBA">
              <w:t>other than a service associated with a service to which item 30473 or 30478 applies</w:t>
            </w:r>
          </w:p>
          <w:p w:rsidR="00FC0CBA" w:rsidRPr="00FC0CBA" w:rsidRDefault="00FC0CBA" w:rsidP="00FC0CBA"/>
          <w:p w:rsidR="00FC0CBA" w:rsidRPr="00FC0CBA" w:rsidRDefault="00FB4A20" w:rsidP="00FC0CBA">
            <w:hyperlink r:id="rId11" w:history="1">
              <w:r w:rsidR="00FC0CBA"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4A1DF7" w:rsidRPr="0028693B" w:rsidRDefault="00FC0CBA" w:rsidP="0028693B">
            <w:r w:rsidRPr="00FC0CBA">
              <w:t>Fee:</w:t>
            </w:r>
            <w:r w:rsidRPr="00FC0CBA">
              <w:rPr>
                <w:rFonts w:eastAsiaTheme="majorEastAsia"/>
              </w:rPr>
              <w:t> </w:t>
            </w:r>
            <w:r w:rsidRPr="00FC0CBA">
              <w:t>$476.10</w:t>
            </w:r>
            <w:r w:rsidRPr="00FC0CBA">
              <w:rPr>
                <w:rFonts w:eastAsiaTheme="majorEastAsia"/>
              </w:rPr>
              <w:t> </w:t>
            </w:r>
            <w:r w:rsidRPr="00FC0CBA">
              <w:t>Benefit:</w:t>
            </w:r>
            <w:r w:rsidRPr="00FC0CBA">
              <w:rPr>
                <w:rFonts w:eastAsiaTheme="majorEastAsia"/>
              </w:rPr>
              <w:t> </w:t>
            </w:r>
            <w:r w:rsidRPr="00FC0CBA">
              <w:t>75% = $357.10 85% = $404.70</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lastRenderedPageBreak/>
              <w:t>30475</w:t>
            </w:r>
          </w:p>
        </w:tc>
        <w:tc>
          <w:tcPr>
            <w:tcW w:w="8222" w:type="dxa"/>
          </w:tcPr>
          <w:p w:rsidR="00FC0CBA" w:rsidRPr="00FC0CBA" w:rsidRDefault="00FC0CBA" w:rsidP="00FC0CBA">
            <w:r w:rsidRPr="00FC0CBA">
              <w:t>Endoscopic dilatation of stricture of upper gastrointestinal tract (including the use of imaging intensification where clinically indicated)</w:t>
            </w:r>
          </w:p>
          <w:p w:rsidR="00FC0CBA" w:rsidRDefault="00FC0CBA" w:rsidP="00FC0CBA"/>
          <w:p w:rsidR="00FC0CBA" w:rsidRPr="00FC0CBA" w:rsidRDefault="00FB4A20" w:rsidP="00FC0CBA">
            <w:hyperlink r:id="rId12" w:history="1">
              <w:r w:rsidR="00FC0CBA"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4A1DF7" w:rsidRPr="00FC0CBA" w:rsidRDefault="00FC0CBA" w:rsidP="00543E78">
            <w:r w:rsidRPr="00FC0CBA">
              <w:t>Fee:</w:t>
            </w:r>
            <w:r w:rsidRPr="00FC0CBA">
              <w:rPr>
                <w:rFonts w:eastAsiaTheme="majorEastAsia"/>
              </w:rPr>
              <w:t> </w:t>
            </w:r>
            <w:r w:rsidRPr="00FC0CBA">
              <w:t>$348.95</w:t>
            </w:r>
            <w:r w:rsidRPr="00FC0CBA">
              <w:rPr>
                <w:rFonts w:eastAsiaTheme="majorEastAsia"/>
              </w:rPr>
              <w:t> </w:t>
            </w:r>
            <w:r w:rsidRPr="00FC0CBA">
              <w:t>Benefit:</w:t>
            </w:r>
            <w:r w:rsidRPr="00FC0CBA">
              <w:rPr>
                <w:rFonts w:eastAsiaTheme="majorEastAsia"/>
              </w:rPr>
              <w:t> </w:t>
            </w:r>
            <w:r w:rsidRPr="00FC0CBA">
              <w:t>75% = $261.75 85% = $296.65</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t>41831</w:t>
            </w:r>
          </w:p>
        </w:tc>
        <w:tc>
          <w:tcPr>
            <w:tcW w:w="8222" w:type="dxa"/>
          </w:tcPr>
          <w:p w:rsidR="00FC0CBA" w:rsidRPr="00FC0CBA" w:rsidRDefault="00FC0CBA" w:rsidP="00FC0CBA">
            <w:r w:rsidRPr="00FC0CBA">
              <w:t>Oesophagus, endoscopic pneumatic dilatation of, for treatment of achalasia</w:t>
            </w:r>
          </w:p>
          <w:p w:rsidR="00FC0CBA" w:rsidRDefault="00FC0CBA" w:rsidP="00FC0CBA"/>
          <w:p w:rsidR="00FC0CBA" w:rsidRPr="00FC0CBA" w:rsidRDefault="00FB4A20" w:rsidP="00FC0CBA">
            <w:hyperlink r:id="rId13" w:history="1">
              <w:r w:rsidR="00FC0CBA" w:rsidRPr="00FC0CBA">
                <w:rPr>
                  <w:rStyle w:val="Hyperlink"/>
                  <w:rFonts w:eastAsiaTheme="majorEastAsia"/>
                </w:rPr>
                <w:t>Multiple Services Rule</w:t>
              </w:r>
            </w:hyperlink>
          </w:p>
          <w:p w:rsidR="00FC0CBA" w:rsidRPr="00FC0CBA" w:rsidRDefault="00FC0CBA" w:rsidP="00FC0CBA">
            <w:r w:rsidRPr="00FC0CBA">
              <w:br/>
              <w:t>(Anaes.) (Assist.)</w:t>
            </w:r>
            <w:r w:rsidRPr="00FC0CBA">
              <w:br/>
            </w:r>
          </w:p>
          <w:p w:rsidR="004A1DF7" w:rsidRPr="0028693B" w:rsidRDefault="00FC0CBA" w:rsidP="00543E78">
            <w:r w:rsidRPr="00FC0CBA">
              <w:t>Fee:</w:t>
            </w:r>
            <w:r w:rsidRPr="00FC0CBA">
              <w:rPr>
                <w:rFonts w:eastAsiaTheme="majorEastAsia"/>
              </w:rPr>
              <w:t> </w:t>
            </w:r>
            <w:r w:rsidRPr="00FC0CBA">
              <w:t>$357.00</w:t>
            </w:r>
            <w:r w:rsidRPr="00FC0CBA">
              <w:rPr>
                <w:rFonts w:eastAsiaTheme="majorEastAsia"/>
              </w:rPr>
              <w:t> </w:t>
            </w:r>
            <w:r w:rsidRPr="00FC0CBA">
              <w:t>Benefit:</w:t>
            </w:r>
            <w:r w:rsidRPr="00FC0CBA">
              <w:rPr>
                <w:rFonts w:eastAsiaTheme="majorEastAsia"/>
              </w:rPr>
              <w:t> </w:t>
            </w:r>
            <w:r w:rsidRPr="00FC0CBA">
              <w:t>75% = $267.75 85% = $303.45</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t>30688</w:t>
            </w:r>
          </w:p>
        </w:tc>
        <w:tc>
          <w:tcPr>
            <w:tcW w:w="8222" w:type="dxa"/>
          </w:tcPr>
          <w:p w:rsidR="00FC0CBA" w:rsidRPr="00FC0CBA" w:rsidRDefault="00FC0CBA" w:rsidP="00FC0CBA">
            <w:r w:rsidRPr="00FC0CBA">
              <w:t>Endoscopic ultrasound (endoscopy with ultrasound imaging), with or without biopsy, for the staging of 1 or more of oesophageal, gastric or pancreatic cancer, not in association with another item in this Subgroup (other than item 30484, 30485, 30491 or 30494) and other than a service associated with the routine monitoring of chronic pancreatitis.</w:t>
            </w:r>
          </w:p>
          <w:p w:rsidR="00FC0CBA" w:rsidRDefault="00FC0CBA" w:rsidP="00FC0CBA"/>
          <w:p w:rsidR="00FC0CBA" w:rsidRPr="00FC0CBA" w:rsidRDefault="00FB4A20" w:rsidP="00FC0CBA">
            <w:hyperlink r:id="rId14" w:history="1">
              <w:r w:rsidR="00FC0CBA"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28693B" w:rsidRPr="0028693B" w:rsidRDefault="00FC0CBA" w:rsidP="00FC0CBA">
            <w:r w:rsidRPr="00FC0CBA">
              <w:t>Fee:</w:t>
            </w:r>
            <w:r w:rsidRPr="00FC0CBA">
              <w:rPr>
                <w:rFonts w:eastAsiaTheme="majorEastAsia"/>
              </w:rPr>
              <w:t> </w:t>
            </w:r>
            <w:r w:rsidRPr="00FC0CBA">
              <w:t>$364.90</w:t>
            </w:r>
            <w:r w:rsidRPr="00FC0CBA">
              <w:rPr>
                <w:rFonts w:eastAsiaTheme="majorEastAsia"/>
              </w:rPr>
              <w:t> </w:t>
            </w:r>
            <w:r w:rsidRPr="00FC0CBA">
              <w:t>Benefit:</w:t>
            </w:r>
            <w:r w:rsidRPr="00FC0CBA">
              <w:rPr>
                <w:rFonts w:eastAsiaTheme="majorEastAsia"/>
              </w:rPr>
              <w:t> </w:t>
            </w:r>
            <w:r w:rsidRPr="00FC0CBA">
              <w:t>75% = $273.70 85% = $310.20</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t>30690</w:t>
            </w:r>
          </w:p>
        </w:tc>
        <w:tc>
          <w:tcPr>
            <w:tcW w:w="8222" w:type="dxa"/>
          </w:tcPr>
          <w:p w:rsidR="00FC0CBA" w:rsidRPr="00FC0CBA" w:rsidRDefault="00FC0CBA" w:rsidP="00FC0CBA">
            <w:r w:rsidRPr="00FC0CBA">
              <w:t>Endoscopic ultrasound (endoscopy with ultrasound im</w:t>
            </w:r>
            <w:r w:rsidR="00916F45">
              <w:t>aging), with or without biopsy,</w:t>
            </w:r>
            <w:r w:rsidRPr="00FC0CBA">
              <w:t> with fine needle aspiration, including aspiration of the locoregional lymph nodes if performed, for the staging of 1 or more of oesophageal, gastric or pancreatic cancer, not in association with another item in this Subgroup (other than item 30484, 30485, 30491 or 30494) and other than a service associated with the routine monitoring of chronic pancreatitis.</w:t>
            </w:r>
          </w:p>
          <w:p w:rsidR="00FC0CBA" w:rsidRDefault="00FC0CBA" w:rsidP="00FC0CBA"/>
          <w:p w:rsidR="00FC0CBA" w:rsidRPr="00FC0CBA" w:rsidRDefault="00FB4A20" w:rsidP="00FC0CBA">
            <w:hyperlink r:id="rId15" w:history="1">
              <w:r w:rsidR="00FC0CBA"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4A1DF7" w:rsidRPr="0028693B" w:rsidRDefault="00FC0CBA" w:rsidP="0028693B">
            <w:r w:rsidRPr="00FC0CBA">
              <w:t>Fee:</w:t>
            </w:r>
            <w:r w:rsidRPr="00FC0CBA">
              <w:rPr>
                <w:rFonts w:eastAsiaTheme="majorEastAsia"/>
              </w:rPr>
              <w:t> </w:t>
            </w:r>
            <w:r w:rsidRPr="00FC0CBA">
              <w:t>$563.30</w:t>
            </w:r>
            <w:r w:rsidRPr="00FC0CBA">
              <w:rPr>
                <w:rFonts w:eastAsiaTheme="majorEastAsia"/>
              </w:rPr>
              <w:t> </w:t>
            </w:r>
            <w:r w:rsidRPr="00FC0CBA">
              <w:t>Benefit:</w:t>
            </w:r>
            <w:r w:rsidRPr="00FC0CBA">
              <w:rPr>
                <w:rFonts w:eastAsiaTheme="majorEastAsia"/>
              </w:rPr>
              <w:t> </w:t>
            </w:r>
            <w:r w:rsidRPr="00FC0CBA">
              <w:t>75% = $422.50 85% = $481.60</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t>30692</w:t>
            </w:r>
          </w:p>
        </w:tc>
        <w:tc>
          <w:tcPr>
            <w:tcW w:w="8222" w:type="dxa"/>
          </w:tcPr>
          <w:p w:rsidR="00FC0CBA" w:rsidRPr="00FC0CBA" w:rsidRDefault="00FC0CBA" w:rsidP="00FC0CBA">
            <w:r w:rsidRPr="00FC0CBA">
              <w:t xml:space="preserve">Endoscopic ultrasound (endoscopy with ultrasound imaging), with or without biopsy, for the diagnosis of 1 or more of pancreatic, biliary or gastric submucosal tumours, not in association with another item in this Subgroup (other than </w:t>
            </w:r>
            <w:r w:rsidRPr="00FC0CBA">
              <w:lastRenderedPageBreak/>
              <w:t>item 30484, 30485, 30491 or 30494) and other than a service associated with the routine monitoring of chronic pancreatitis.</w:t>
            </w:r>
          </w:p>
          <w:p w:rsidR="00FC0CBA" w:rsidRDefault="00FC0CBA" w:rsidP="00FC0CBA"/>
          <w:p w:rsidR="00FC0CBA" w:rsidRPr="00FC0CBA" w:rsidRDefault="00FB4A20" w:rsidP="00FC0CBA">
            <w:hyperlink r:id="rId16" w:history="1">
              <w:r w:rsidR="00FC0CBA"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4A1DF7" w:rsidRPr="0028693B" w:rsidRDefault="00FC0CBA" w:rsidP="0028693B">
            <w:r w:rsidRPr="00FC0CBA">
              <w:t>Fee:</w:t>
            </w:r>
            <w:r w:rsidRPr="00FC0CBA">
              <w:rPr>
                <w:rFonts w:eastAsiaTheme="majorEastAsia"/>
              </w:rPr>
              <w:t> </w:t>
            </w:r>
            <w:r w:rsidRPr="00FC0CBA">
              <w:t>$364.90</w:t>
            </w:r>
            <w:r w:rsidRPr="00FC0CBA">
              <w:rPr>
                <w:rFonts w:eastAsiaTheme="majorEastAsia"/>
              </w:rPr>
              <w:t> </w:t>
            </w:r>
            <w:r w:rsidRPr="00FC0CBA">
              <w:t>Benefit:</w:t>
            </w:r>
            <w:r w:rsidRPr="00FC0CBA">
              <w:rPr>
                <w:rFonts w:eastAsiaTheme="majorEastAsia"/>
              </w:rPr>
              <w:t> </w:t>
            </w:r>
            <w:r w:rsidRPr="00FC0CBA">
              <w:t>75% = $273.70 85% = $310.20</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lastRenderedPageBreak/>
              <w:t>30694</w:t>
            </w:r>
          </w:p>
        </w:tc>
        <w:tc>
          <w:tcPr>
            <w:tcW w:w="8222" w:type="dxa"/>
          </w:tcPr>
          <w:p w:rsidR="00FC0CBA" w:rsidRPr="00FC0CBA" w:rsidRDefault="00FC0CBA" w:rsidP="00FC0CBA">
            <w:r w:rsidRPr="00FC0CBA">
              <w:t>Endoscopic ultrasound (endoscopy with ultrasound imaging), with or without biopsy,  with fine needle aspiration, for the diagnosis of 1 or more of pancreatic, biliary or gastric submucosal tumours,  not in association with another item in this Subgroup (other than item 30484, 30485, 30491 or 30494) and other than a service associated with the routine monitoring of chronic pancreatitis.</w:t>
            </w:r>
          </w:p>
          <w:p w:rsidR="00FC0CBA" w:rsidRDefault="00FC0CBA" w:rsidP="00FC0CBA"/>
          <w:p w:rsidR="00FC0CBA" w:rsidRPr="00FC0CBA" w:rsidRDefault="00FB4A20" w:rsidP="00FC0CBA">
            <w:hyperlink r:id="rId17" w:history="1">
              <w:r w:rsidR="00FC0CBA"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4A1DF7" w:rsidRPr="0028693B" w:rsidRDefault="00FC0CBA" w:rsidP="0028693B">
            <w:r w:rsidRPr="00FC0CBA">
              <w:t>Fee:</w:t>
            </w:r>
            <w:r w:rsidRPr="00FC0CBA">
              <w:rPr>
                <w:rFonts w:eastAsiaTheme="majorEastAsia"/>
              </w:rPr>
              <w:t> </w:t>
            </w:r>
            <w:r w:rsidRPr="00FC0CBA">
              <w:t>$563.30</w:t>
            </w:r>
            <w:r w:rsidRPr="00FC0CBA">
              <w:rPr>
                <w:rFonts w:eastAsiaTheme="majorEastAsia"/>
              </w:rPr>
              <w:t> </w:t>
            </w:r>
            <w:r w:rsidRPr="00FC0CBA">
              <w:t>Benefit:</w:t>
            </w:r>
            <w:r w:rsidRPr="00FC0CBA">
              <w:rPr>
                <w:rFonts w:eastAsiaTheme="majorEastAsia"/>
              </w:rPr>
              <w:t> </w:t>
            </w:r>
            <w:r w:rsidRPr="00FC0CBA">
              <w:t>75% = $422.50 85% = $481.60</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t>32084</w:t>
            </w:r>
          </w:p>
        </w:tc>
        <w:tc>
          <w:tcPr>
            <w:tcW w:w="8222" w:type="dxa"/>
          </w:tcPr>
          <w:p w:rsidR="00FC0CBA" w:rsidRPr="00FC0CBA" w:rsidRDefault="00FC0CBA" w:rsidP="00FC0CBA">
            <w:r w:rsidRPr="00FC0CBA">
              <w:t>Flexible fibreoptic sigmoidoscopy or fibreoptic colonoscopy up to the hepatic flexure, with or without biopsy, other than a service associated with a service to which item 32090 or 32093 applies.</w:t>
            </w:r>
          </w:p>
          <w:p w:rsidR="00FC0CBA" w:rsidRPr="00FC0CBA" w:rsidRDefault="00FC0CBA" w:rsidP="00FC0CBA">
            <w:r w:rsidRPr="00FC0CBA">
              <w:t> </w:t>
            </w:r>
          </w:p>
          <w:p w:rsidR="00FC0CBA" w:rsidRPr="00FC0CBA" w:rsidRDefault="00FC0CBA" w:rsidP="00FC0CBA">
            <w:r w:rsidRPr="00FC0CBA">
              <w:t> </w:t>
            </w:r>
            <w:hyperlink r:id="rId18" w:history="1">
              <w:r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4A1DF7" w:rsidRPr="0028693B" w:rsidRDefault="00FC0CBA" w:rsidP="0028693B">
            <w:r w:rsidRPr="00FC0CBA">
              <w:t>Fee:</w:t>
            </w:r>
            <w:r w:rsidRPr="00FC0CBA">
              <w:rPr>
                <w:rFonts w:eastAsiaTheme="majorEastAsia"/>
              </w:rPr>
              <w:t> </w:t>
            </w:r>
            <w:r w:rsidRPr="00FC0CBA">
              <w:t>$111.35</w:t>
            </w:r>
            <w:r w:rsidRPr="00FC0CBA">
              <w:rPr>
                <w:rFonts w:eastAsiaTheme="majorEastAsia"/>
              </w:rPr>
              <w:t> </w:t>
            </w:r>
            <w:r w:rsidRPr="00FC0CBA">
              <w:t>Benefit:</w:t>
            </w:r>
            <w:r w:rsidRPr="00FC0CBA">
              <w:rPr>
                <w:rFonts w:eastAsiaTheme="majorEastAsia"/>
              </w:rPr>
              <w:t> </w:t>
            </w:r>
            <w:r w:rsidRPr="00FC0CBA">
              <w:t>75% = $83.55 85% = $94.65</w:t>
            </w:r>
          </w:p>
        </w:tc>
      </w:tr>
      <w:tr w:rsidR="004A1DF7" w:rsidRPr="00A46A8F" w:rsidTr="00543E78">
        <w:tblPrEx>
          <w:tblLook w:val="04A0" w:firstRow="1" w:lastRow="0" w:firstColumn="1" w:lastColumn="0" w:noHBand="0" w:noVBand="1"/>
        </w:tblPrEx>
        <w:tc>
          <w:tcPr>
            <w:tcW w:w="912" w:type="dxa"/>
          </w:tcPr>
          <w:p w:rsidR="004A1DF7" w:rsidRPr="00A46A8F" w:rsidRDefault="004A1DF7" w:rsidP="00543E78">
            <w:pPr>
              <w:rPr>
                <w:sz w:val="20"/>
                <w:szCs w:val="20"/>
              </w:rPr>
            </w:pPr>
            <w:r w:rsidRPr="00A46A8F">
              <w:rPr>
                <w:sz w:val="20"/>
                <w:szCs w:val="20"/>
              </w:rPr>
              <w:t>32087</w:t>
            </w:r>
          </w:p>
        </w:tc>
        <w:tc>
          <w:tcPr>
            <w:tcW w:w="8222" w:type="dxa"/>
          </w:tcPr>
          <w:p w:rsidR="00FC0CBA" w:rsidRPr="00FC0CBA" w:rsidRDefault="00FC0CBA" w:rsidP="00FC0CBA">
            <w:r w:rsidRPr="00FC0CBA">
              <w:t>Endoscopic examination of the colon up to the hepatic flexure by flexible fibreoptic sigmoidoscopy or fibreoptic colonoscopy for the removal of 1 or more polyps or the treatment of radiation proctitis, angiodysplasia or post-polypectomy bleeding by argon plasma coagulation, one or more of, other than a service associated with a service to which item 32090 or 32093 applies</w:t>
            </w:r>
          </w:p>
          <w:p w:rsidR="00FC0CBA" w:rsidRPr="00FC0CBA" w:rsidRDefault="00FC0CBA" w:rsidP="00FC0CBA">
            <w:r w:rsidRPr="00FC0CBA">
              <w:t> </w:t>
            </w:r>
          </w:p>
          <w:p w:rsidR="00FC0CBA" w:rsidRPr="00FC0CBA" w:rsidRDefault="00FC0CBA" w:rsidP="00FC0CBA">
            <w:r w:rsidRPr="00FC0CBA">
              <w:t> </w:t>
            </w:r>
            <w:hyperlink r:id="rId19" w:history="1">
              <w:r w:rsidRPr="00FC0CBA">
                <w:rPr>
                  <w:rStyle w:val="Hyperlink"/>
                  <w:rFonts w:eastAsiaTheme="majorEastAsia"/>
                </w:rPr>
                <w:t>Multiple Services Rule</w:t>
              </w:r>
            </w:hyperlink>
          </w:p>
          <w:p w:rsidR="00FC0CBA" w:rsidRPr="00FC0CBA" w:rsidRDefault="00FC0CBA" w:rsidP="00FC0CBA">
            <w:r w:rsidRPr="00FC0CBA">
              <w:br/>
              <w:t>(Anaes.)</w:t>
            </w:r>
            <w:r w:rsidRPr="00FC0CBA">
              <w:rPr>
                <w:rFonts w:eastAsiaTheme="majorEastAsia"/>
              </w:rPr>
              <w:t> </w:t>
            </w:r>
            <w:r w:rsidRPr="00FC0CBA">
              <w:br/>
            </w:r>
          </w:p>
          <w:p w:rsidR="004A1DF7" w:rsidRPr="0028693B" w:rsidRDefault="00FC0CBA" w:rsidP="0028693B">
            <w:r w:rsidRPr="00FC0CBA">
              <w:t>Fee:</w:t>
            </w:r>
            <w:r w:rsidRPr="00FC0CBA">
              <w:rPr>
                <w:rFonts w:eastAsiaTheme="majorEastAsia"/>
              </w:rPr>
              <w:t> </w:t>
            </w:r>
            <w:r w:rsidRPr="00FC0CBA">
              <w:t>$204.70</w:t>
            </w:r>
            <w:r w:rsidRPr="00FC0CBA">
              <w:rPr>
                <w:rFonts w:eastAsiaTheme="majorEastAsia"/>
              </w:rPr>
              <w:t> </w:t>
            </w:r>
            <w:r w:rsidRPr="00FC0CBA">
              <w:t>Benefit:</w:t>
            </w:r>
            <w:r w:rsidRPr="00FC0CBA">
              <w:rPr>
                <w:rFonts w:eastAsiaTheme="majorEastAsia"/>
              </w:rPr>
              <w:t> </w:t>
            </w:r>
            <w:r w:rsidRPr="00FC0CBA">
              <w:t>75% = $153.55 85% = $174.00</w:t>
            </w:r>
          </w:p>
        </w:tc>
      </w:tr>
    </w:tbl>
    <w:p w:rsidR="004A1DF7" w:rsidRPr="009F7674" w:rsidRDefault="004A1DF7" w:rsidP="004A1DF7">
      <w:pPr>
        <w:tabs>
          <w:tab w:val="left" w:pos="2494"/>
        </w:tabs>
      </w:pPr>
    </w:p>
    <w:p w:rsidR="004A1DF7" w:rsidRPr="00450130" w:rsidRDefault="004A1DF7" w:rsidP="00450130"/>
    <w:p w:rsidR="00450130" w:rsidRPr="00450130" w:rsidRDefault="00450130" w:rsidP="00450130">
      <w:pPr>
        <w:rPr>
          <w:rStyle w:val="Emphasis"/>
        </w:rPr>
      </w:pPr>
    </w:p>
    <w:sectPr w:rsidR="00450130" w:rsidRPr="00450130" w:rsidSect="00A563EC">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E8" w:rsidRDefault="00C102E8" w:rsidP="00743091">
      <w:r>
        <w:separator/>
      </w:r>
    </w:p>
    <w:p w:rsidR="00C102E8" w:rsidRDefault="00C102E8" w:rsidP="00743091"/>
    <w:p w:rsidR="00C102E8" w:rsidRDefault="00C102E8" w:rsidP="00743091"/>
  </w:endnote>
  <w:endnote w:type="continuationSeparator" w:id="0">
    <w:p w:rsidR="00C102E8" w:rsidRDefault="00C102E8" w:rsidP="00743091">
      <w:r>
        <w:continuationSeparator/>
      </w:r>
    </w:p>
    <w:p w:rsidR="00C102E8" w:rsidRDefault="00C102E8" w:rsidP="00743091"/>
    <w:p w:rsidR="00C102E8" w:rsidRDefault="00C102E8"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A563EC"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sidR="00475405">
      <w:rPr>
        <w:rStyle w:val="Strong"/>
      </w:rPr>
      <w:br/>
    </w:r>
    <w:r w:rsidR="00475405" w:rsidRPr="00475405">
      <w:rPr>
        <w:rStyle w:val="Strong"/>
      </w:rPr>
      <w:t>Fact Sheet</w:t>
    </w:r>
    <w:r w:rsidR="00743091">
      <w:rPr>
        <w:rStyle w:val="Strong"/>
      </w:rPr>
      <w:t xml:space="preserve">: </w:t>
    </w:r>
    <w:r w:rsidR="00743091" w:rsidRPr="00743091">
      <w:rPr>
        <w:rStyle w:val="Strong"/>
        <w:b w:val="0"/>
      </w:rPr>
      <w:fldChar w:fldCharType="begin"/>
    </w:r>
    <w:r w:rsidR="00743091" w:rsidRPr="00743091">
      <w:rPr>
        <w:rStyle w:val="Strong"/>
        <w:b w:val="0"/>
      </w:rPr>
      <w:instrText xml:space="preserve"> REF _Ref394501517 </w:instrText>
    </w:r>
    <w:r w:rsidR="00743091">
      <w:rPr>
        <w:rStyle w:val="Strong"/>
        <w:b w:val="0"/>
      </w:rPr>
      <w:instrText xml:space="preserve"> \* MERGEFORMAT </w:instrText>
    </w:r>
    <w:r w:rsidR="00743091" w:rsidRPr="00743091">
      <w:rPr>
        <w:rStyle w:val="Strong"/>
        <w:b w:val="0"/>
      </w:rPr>
      <w:fldChar w:fldCharType="separate"/>
    </w:r>
    <w:r w:rsidR="004F3A66" w:rsidRPr="004F3A66">
      <w:rPr>
        <w:b/>
      </w:rPr>
      <w:t xml:space="preserve">Changes to </w:t>
    </w:r>
    <w:r w:rsidR="00411660">
      <w:rPr>
        <w:b/>
      </w:rPr>
      <w:t>Gastroenterology Services (</w:t>
    </w:r>
    <w:r w:rsidR="00411660">
      <w:t>n</w:t>
    </w:r>
    <w:r w:rsidR="00411660">
      <w:rPr>
        <w:b/>
      </w:rPr>
      <w:t xml:space="preserve">ot </w:t>
    </w:r>
    <w:r w:rsidR="00411660">
      <w:t>i</w:t>
    </w:r>
    <w:r w:rsidR="00BD3917">
      <w:rPr>
        <w:b/>
      </w:rPr>
      <w:t xml:space="preserve">ncluding </w:t>
    </w:r>
    <w:r w:rsidR="00BD3917">
      <w:t>c</w:t>
    </w:r>
    <w:r w:rsidR="004F3A66" w:rsidRPr="004F3A66">
      <w:rPr>
        <w:b/>
      </w:rPr>
      <w:t>olonoscopy)</w:t>
    </w:r>
    <w:r w:rsidR="00743091" w:rsidRPr="00743091">
      <w:rPr>
        <w:rStyle w:val="Strong"/>
        <w:b w:val="0"/>
      </w:rPr>
      <w:fldChar w:fldCharType="end"/>
    </w:r>
    <w:r w:rsidRPr="00A563EC">
      <w:tab/>
    </w:r>
    <w:r w:rsidR="00690C0B" w:rsidRPr="00A563EC">
      <w:t xml:space="preserve">Page </w:t>
    </w:r>
    <w:r w:rsidR="00690C0B" w:rsidRPr="00A563EC">
      <w:fldChar w:fldCharType="begin"/>
    </w:r>
    <w:r w:rsidR="00690C0B" w:rsidRPr="00A563EC">
      <w:instrText xml:space="preserve"> PAGE  \* Arabic  \* MERGEFORMAT </w:instrText>
    </w:r>
    <w:r w:rsidR="00690C0B" w:rsidRPr="00A563EC">
      <w:fldChar w:fldCharType="separate"/>
    </w:r>
    <w:r w:rsidR="00FB4A20">
      <w:rPr>
        <w:noProof/>
      </w:rPr>
      <w:t>1</w:t>
    </w:r>
    <w:r w:rsidR="00690C0B" w:rsidRPr="00A563EC">
      <w:fldChar w:fldCharType="end"/>
    </w:r>
    <w:r w:rsidR="00690C0B" w:rsidRPr="00A563EC">
      <w:t xml:space="preserve"> of </w:t>
    </w:r>
    <w:fldSimple w:instr=" NUMPAGES  \* Arabic  \* MERGEFORMAT ">
      <w:r w:rsidR="00FB4A20">
        <w:rPr>
          <w:noProof/>
        </w:rPr>
        <w:t>5</w:t>
      </w:r>
    </w:fldSimple>
    <w:r w:rsidR="00475405">
      <w:br/>
    </w:r>
    <w:hyperlink r:id="rId1" w:history="1">
      <w:r w:rsidR="006F4D33"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E8" w:rsidRDefault="00C102E8" w:rsidP="00743091">
      <w:r>
        <w:separator/>
      </w:r>
    </w:p>
    <w:p w:rsidR="00C102E8" w:rsidRDefault="00C102E8" w:rsidP="00743091"/>
    <w:p w:rsidR="00C102E8" w:rsidRDefault="00C102E8" w:rsidP="00743091"/>
  </w:footnote>
  <w:footnote w:type="continuationSeparator" w:id="0">
    <w:p w:rsidR="00C102E8" w:rsidRDefault="00C102E8" w:rsidP="00743091">
      <w:r>
        <w:continuationSeparator/>
      </w:r>
    </w:p>
    <w:p w:rsidR="00C102E8" w:rsidRDefault="00C102E8" w:rsidP="00743091"/>
    <w:p w:rsidR="00C102E8" w:rsidRDefault="00C102E8"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A563EC" w:rsidP="00743091"/>
  <w:p w:rsidR="00A87435" w:rsidRDefault="00CF3B9A" w:rsidP="00743091">
    <w:pPr>
      <w:pBdr>
        <w:bottom w:val="single" w:sz="12" w:space="12" w:color="117254"/>
      </w:pBdr>
    </w:pPr>
    <w:r>
      <w:rPr>
        <w:noProof/>
        <w:lang w:eastAsia="en-AU"/>
      </w:rPr>
      <w:drawing>
        <wp:inline distT="0" distB="0" distL="0" distR="0">
          <wp:extent cx="2499360" cy="601980"/>
          <wp:effectExtent l="0" t="0" r="0" b="0"/>
          <wp:docPr id="2"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6019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04E71CB"/>
    <w:multiLevelType w:val="hybridMultilevel"/>
    <w:tmpl w:val="B40E0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0F63705B"/>
    <w:multiLevelType w:val="hybridMultilevel"/>
    <w:tmpl w:val="61349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2021C09"/>
    <w:multiLevelType w:val="hybridMultilevel"/>
    <w:tmpl w:val="7340004A"/>
    <w:lvl w:ilvl="0" w:tplc="0C090017">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C95C99"/>
    <w:multiLevelType w:val="hybridMultilevel"/>
    <w:tmpl w:val="403CB1A4"/>
    <w:lvl w:ilvl="0" w:tplc="0C090017">
      <w:start w:val="1"/>
      <w:numFmt w:val="lowerLetter"/>
      <w:lvlText w:val="%1)"/>
      <w:lvlJc w:val="left"/>
      <w:pPr>
        <w:ind w:left="761" w:hanging="360"/>
      </w:pPr>
      <w:rPr>
        <w:rFonts w:cs="Times New Roman"/>
      </w:rPr>
    </w:lvl>
    <w:lvl w:ilvl="1" w:tplc="0C090019" w:tentative="1">
      <w:start w:val="1"/>
      <w:numFmt w:val="lowerLetter"/>
      <w:lvlText w:val="%2."/>
      <w:lvlJc w:val="left"/>
      <w:pPr>
        <w:ind w:left="1481" w:hanging="360"/>
      </w:pPr>
      <w:rPr>
        <w:rFonts w:cs="Times New Roman"/>
      </w:rPr>
    </w:lvl>
    <w:lvl w:ilvl="2" w:tplc="0C09001B" w:tentative="1">
      <w:start w:val="1"/>
      <w:numFmt w:val="lowerRoman"/>
      <w:lvlText w:val="%3."/>
      <w:lvlJc w:val="right"/>
      <w:pPr>
        <w:ind w:left="2201" w:hanging="180"/>
      </w:pPr>
      <w:rPr>
        <w:rFonts w:cs="Times New Roman"/>
      </w:rPr>
    </w:lvl>
    <w:lvl w:ilvl="3" w:tplc="0C09000F" w:tentative="1">
      <w:start w:val="1"/>
      <w:numFmt w:val="decimal"/>
      <w:lvlText w:val="%4."/>
      <w:lvlJc w:val="left"/>
      <w:pPr>
        <w:ind w:left="2921" w:hanging="360"/>
      </w:pPr>
      <w:rPr>
        <w:rFonts w:cs="Times New Roman"/>
      </w:rPr>
    </w:lvl>
    <w:lvl w:ilvl="4" w:tplc="0C090019" w:tentative="1">
      <w:start w:val="1"/>
      <w:numFmt w:val="lowerLetter"/>
      <w:lvlText w:val="%5."/>
      <w:lvlJc w:val="left"/>
      <w:pPr>
        <w:ind w:left="3641" w:hanging="360"/>
      </w:pPr>
      <w:rPr>
        <w:rFonts w:cs="Times New Roman"/>
      </w:rPr>
    </w:lvl>
    <w:lvl w:ilvl="5" w:tplc="0C09001B" w:tentative="1">
      <w:start w:val="1"/>
      <w:numFmt w:val="lowerRoman"/>
      <w:lvlText w:val="%6."/>
      <w:lvlJc w:val="right"/>
      <w:pPr>
        <w:ind w:left="4361" w:hanging="180"/>
      </w:pPr>
      <w:rPr>
        <w:rFonts w:cs="Times New Roman"/>
      </w:rPr>
    </w:lvl>
    <w:lvl w:ilvl="6" w:tplc="0C09000F" w:tentative="1">
      <w:start w:val="1"/>
      <w:numFmt w:val="decimal"/>
      <w:lvlText w:val="%7."/>
      <w:lvlJc w:val="left"/>
      <w:pPr>
        <w:ind w:left="5081" w:hanging="360"/>
      </w:pPr>
      <w:rPr>
        <w:rFonts w:cs="Times New Roman"/>
      </w:rPr>
    </w:lvl>
    <w:lvl w:ilvl="7" w:tplc="0C090019" w:tentative="1">
      <w:start w:val="1"/>
      <w:numFmt w:val="lowerLetter"/>
      <w:lvlText w:val="%8."/>
      <w:lvlJc w:val="left"/>
      <w:pPr>
        <w:ind w:left="5801" w:hanging="360"/>
      </w:pPr>
      <w:rPr>
        <w:rFonts w:cs="Times New Roman"/>
      </w:rPr>
    </w:lvl>
    <w:lvl w:ilvl="8" w:tplc="0C09001B" w:tentative="1">
      <w:start w:val="1"/>
      <w:numFmt w:val="lowerRoman"/>
      <w:lvlText w:val="%9."/>
      <w:lvlJc w:val="right"/>
      <w:pPr>
        <w:ind w:left="6521" w:hanging="180"/>
      </w:pPr>
      <w:rPr>
        <w:rFonts w:cs="Times New Roman"/>
      </w:rPr>
    </w:lvl>
  </w:abstractNum>
  <w:abstractNum w:abstractNumId="17">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E2B0BC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A122A6A"/>
    <w:multiLevelType w:val="hybridMultilevel"/>
    <w:tmpl w:val="DA48B3EC"/>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5BD1300D"/>
    <w:multiLevelType w:val="hybridMultilevel"/>
    <w:tmpl w:val="4C94203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8A3FAE"/>
    <w:multiLevelType w:val="hybridMultilevel"/>
    <w:tmpl w:val="683AD524"/>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65D3963"/>
    <w:multiLevelType w:val="hybridMultilevel"/>
    <w:tmpl w:val="0C9C05CC"/>
    <w:lvl w:ilvl="0" w:tplc="390278A0">
      <w:start w:val="1"/>
      <w:numFmt w:val="lowerRoman"/>
      <w:lvlText w:val="%1"/>
      <w:lvlJc w:val="right"/>
      <w:pPr>
        <w:ind w:left="720" w:hanging="360"/>
      </w:pPr>
      <w:rPr>
        <w:rFonts w:cs="Times New Roman" w:hint="default"/>
      </w:rPr>
    </w:lvl>
    <w:lvl w:ilvl="1" w:tplc="C0527DFC">
      <w:start w:val="1"/>
      <w:numFmt w:val="lowerRoman"/>
      <w:lvlText w:val="(%2)"/>
      <w:lvlJc w:val="left"/>
      <w:pPr>
        <w:ind w:left="1800" w:hanging="72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F667D0D"/>
    <w:multiLevelType w:val="hybridMultilevel"/>
    <w:tmpl w:val="A306B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7"/>
  </w:num>
  <w:num w:numId="5">
    <w:abstractNumId w:val="25"/>
  </w:num>
  <w:num w:numId="6">
    <w:abstractNumId w:val="26"/>
  </w:num>
  <w:num w:numId="7">
    <w:abstractNumId w:val="2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4"/>
  </w:num>
  <w:num w:numId="19">
    <w:abstractNumId w:val="12"/>
  </w:num>
  <w:num w:numId="20">
    <w:abstractNumId w:val="10"/>
  </w:num>
  <w:num w:numId="21">
    <w:abstractNumId w:val="13"/>
  </w:num>
  <w:num w:numId="22">
    <w:abstractNumId w:val="23"/>
  </w:num>
  <w:num w:numId="23">
    <w:abstractNumId w:val="16"/>
  </w:num>
  <w:num w:numId="24">
    <w:abstractNumId w:val="18"/>
  </w:num>
  <w:num w:numId="25">
    <w:abstractNumId w:val="19"/>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styleLockTheme/>
  <w:styleLockQFSet/>
  <w:defaultTabStop w:val="720"/>
  <w:defaultTableStyle w:val="MBSOnlineTable"/>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52C0E"/>
    <w:rsid w:val="00056E36"/>
    <w:rsid w:val="00073FB4"/>
    <w:rsid w:val="0008204F"/>
    <w:rsid w:val="000A6119"/>
    <w:rsid w:val="000B6F92"/>
    <w:rsid w:val="00123C0D"/>
    <w:rsid w:val="00185CA9"/>
    <w:rsid w:val="00192CF5"/>
    <w:rsid w:val="001A38D2"/>
    <w:rsid w:val="001B6841"/>
    <w:rsid w:val="001C0470"/>
    <w:rsid w:val="001C612D"/>
    <w:rsid w:val="001D71E7"/>
    <w:rsid w:val="0021311A"/>
    <w:rsid w:val="00223D7B"/>
    <w:rsid w:val="00227A2F"/>
    <w:rsid w:val="00233471"/>
    <w:rsid w:val="002416D6"/>
    <w:rsid w:val="002518AA"/>
    <w:rsid w:val="00274A34"/>
    <w:rsid w:val="00280DDE"/>
    <w:rsid w:val="0028693B"/>
    <w:rsid w:val="00293ABC"/>
    <w:rsid w:val="002A6EE1"/>
    <w:rsid w:val="002C49D7"/>
    <w:rsid w:val="002C63D9"/>
    <w:rsid w:val="0030083D"/>
    <w:rsid w:val="0031142C"/>
    <w:rsid w:val="00311639"/>
    <w:rsid w:val="00332ECF"/>
    <w:rsid w:val="00376693"/>
    <w:rsid w:val="00376C22"/>
    <w:rsid w:val="003A56D6"/>
    <w:rsid w:val="003C029B"/>
    <w:rsid w:val="003C56C9"/>
    <w:rsid w:val="003E604B"/>
    <w:rsid w:val="00411660"/>
    <w:rsid w:val="00423096"/>
    <w:rsid w:val="00427F62"/>
    <w:rsid w:val="00442D6A"/>
    <w:rsid w:val="00450130"/>
    <w:rsid w:val="00457276"/>
    <w:rsid w:val="00475405"/>
    <w:rsid w:val="004A1DF7"/>
    <w:rsid w:val="004A71BD"/>
    <w:rsid w:val="004B2C82"/>
    <w:rsid w:val="004E59A6"/>
    <w:rsid w:val="004F3A66"/>
    <w:rsid w:val="00543E78"/>
    <w:rsid w:val="00563A66"/>
    <w:rsid w:val="00575480"/>
    <w:rsid w:val="00582436"/>
    <w:rsid w:val="00587FCC"/>
    <w:rsid w:val="005C6819"/>
    <w:rsid w:val="005D21B1"/>
    <w:rsid w:val="0060482F"/>
    <w:rsid w:val="0061439C"/>
    <w:rsid w:val="00617870"/>
    <w:rsid w:val="00620390"/>
    <w:rsid w:val="00631E45"/>
    <w:rsid w:val="00674C43"/>
    <w:rsid w:val="006753DE"/>
    <w:rsid w:val="00681159"/>
    <w:rsid w:val="00690C0B"/>
    <w:rsid w:val="00697964"/>
    <w:rsid w:val="006A387F"/>
    <w:rsid w:val="006C2366"/>
    <w:rsid w:val="006C6AF3"/>
    <w:rsid w:val="006D0E0F"/>
    <w:rsid w:val="006F4D33"/>
    <w:rsid w:val="00706F8F"/>
    <w:rsid w:val="00722CB4"/>
    <w:rsid w:val="00727D33"/>
    <w:rsid w:val="007313AE"/>
    <w:rsid w:val="0073689A"/>
    <w:rsid w:val="00743091"/>
    <w:rsid w:val="00772786"/>
    <w:rsid w:val="007760E1"/>
    <w:rsid w:val="00782C31"/>
    <w:rsid w:val="00784DE9"/>
    <w:rsid w:val="007D1963"/>
    <w:rsid w:val="007F4E20"/>
    <w:rsid w:val="00844130"/>
    <w:rsid w:val="00845F79"/>
    <w:rsid w:val="008602CE"/>
    <w:rsid w:val="008778DF"/>
    <w:rsid w:val="008F0959"/>
    <w:rsid w:val="008F42A2"/>
    <w:rsid w:val="008F76CC"/>
    <w:rsid w:val="0091062C"/>
    <w:rsid w:val="00914E38"/>
    <w:rsid w:val="00916F45"/>
    <w:rsid w:val="00945371"/>
    <w:rsid w:val="009556B0"/>
    <w:rsid w:val="00977A67"/>
    <w:rsid w:val="00984C27"/>
    <w:rsid w:val="00990076"/>
    <w:rsid w:val="009B55A1"/>
    <w:rsid w:val="009F19E6"/>
    <w:rsid w:val="009F7674"/>
    <w:rsid w:val="00A07C59"/>
    <w:rsid w:val="00A15DD9"/>
    <w:rsid w:val="00A37CC5"/>
    <w:rsid w:val="00A46A8F"/>
    <w:rsid w:val="00A55D34"/>
    <w:rsid w:val="00A563EC"/>
    <w:rsid w:val="00A77F50"/>
    <w:rsid w:val="00A87435"/>
    <w:rsid w:val="00A94CC2"/>
    <w:rsid w:val="00AB3BC0"/>
    <w:rsid w:val="00AE05A9"/>
    <w:rsid w:val="00B12EFD"/>
    <w:rsid w:val="00B16F94"/>
    <w:rsid w:val="00B569FB"/>
    <w:rsid w:val="00B80BC0"/>
    <w:rsid w:val="00B90C49"/>
    <w:rsid w:val="00BD2196"/>
    <w:rsid w:val="00BD3917"/>
    <w:rsid w:val="00BF39BC"/>
    <w:rsid w:val="00BF72A1"/>
    <w:rsid w:val="00BF7993"/>
    <w:rsid w:val="00C102E8"/>
    <w:rsid w:val="00C27BD7"/>
    <w:rsid w:val="00C31C4E"/>
    <w:rsid w:val="00C367C8"/>
    <w:rsid w:val="00C5040C"/>
    <w:rsid w:val="00C6461E"/>
    <w:rsid w:val="00C83AAC"/>
    <w:rsid w:val="00C90304"/>
    <w:rsid w:val="00C9290F"/>
    <w:rsid w:val="00C97A78"/>
    <w:rsid w:val="00CB1ACE"/>
    <w:rsid w:val="00CB316D"/>
    <w:rsid w:val="00CC45A3"/>
    <w:rsid w:val="00CD08D1"/>
    <w:rsid w:val="00CD5592"/>
    <w:rsid w:val="00CE0021"/>
    <w:rsid w:val="00CE137A"/>
    <w:rsid w:val="00CE1CCC"/>
    <w:rsid w:val="00CE4611"/>
    <w:rsid w:val="00CF28D9"/>
    <w:rsid w:val="00CF3B9A"/>
    <w:rsid w:val="00CF7021"/>
    <w:rsid w:val="00D00836"/>
    <w:rsid w:val="00D00B48"/>
    <w:rsid w:val="00D076FB"/>
    <w:rsid w:val="00D14460"/>
    <w:rsid w:val="00D20A16"/>
    <w:rsid w:val="00D53359"/>
    <w:rsid w:val="00D57ACD"/>
    <w:rsid w:val="00D811A6"/>
    <w:rsid w:val="00DA4463"/>
    <w:rsid w:val="00DA7B04"/>
    <w:rsid w:val="00DB6C17"/>
    <w:rsid w:val="00DC6936"/>
    <w:rsid w:val="00DD7657"/>
    <w:rsid w:val="00DF0E3C"/>
    <w:rsid w:val="00E139B7"/>
    <w:rsid w:val="00E152E4"/>
    <w:rsid w:val="00E209C5"/>
    <w:rsid w:val="00E42F6A"/>
    <w:rsid w:val="00E43A41"/>
    <w:rsid w:val="00E54CD1"/>
    <w:rsid w:val="00E85579"/>
    <w:rsid w:val="00EA5DB4"/>
    <w:rsid w:val="00EC1FBB"/>
    <w:rsid w:val="00F3600A"/>
    <w:rsid w:val="00F64317"/>
    <w:rsid w:val="00F706DE"/>
    <w:rsid w:val="00F760F5"/>
    <w:rsid w:val="00F85865"/>
    <w:rsid w:val="00F971C6"/>
    <w:rsid w:val="00FB1701"/>
    <w:rsid w:val="00FB260E"/>
    <w:rsid w:val="00FB4A20"/>
    <w:rsid w:val="00FC0CBA"/>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aliases w:val="List Paragraph1,Recommendation,List Paragraph11,dot point 1,Body Text1,List Bullet Cab,Bullet Point,Bullet point,Bulletr List Paragraph,Content descriptions,FooterText,L,List Bullet 1,List Paragraph2,List Paragraph21,Listeafsnit1,リスト段落"/>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aliases w:val="List Paragraph1 Char,Recommendation Char,List Paragraph11 Char,dot point 1 Char,Body Text1 Char,List Bullet Cab Char,Bullet Point Char,Bullet point Char,Bulletr List Paragraph Char,Content descriptions Char,FooterText Char,L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2416D6"/>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4A1DF7"/>
    <w:pPr>
      <w:spacing w:before="100" w:beforeAutospacing="1" w:after="100" w:afterAutospacing="1"/>
    </w:pPr>
    <w:rPr>
      <w:rFonts w:ascii="Times New Roman" w:hAnsi="Times New Roman"/>
      <w:sz w:val="24"/>
      <w:lang w:eastAsia="en-AU"/>
    </w:rPr>
  </w:style>
  <w:style w:type="paragraph" w:customStyle="1" w:styleId="Default">
    <w:name w:val="Default"/>
    <w:rsid w:val="004A1DF7"/>
    <w:pPr>
      <w:autoSpaceDE w:val="0"/>
      <w:autoSpaceDN w:val="0"/>
      <w:adjustRightInd w:val="0"/>
      <w:spacing w:before="0" w:after="0"/>
    </w:pPr>
    <w:rPr>
      <w:rFonts w:ascii="Times New Roman" w:hAnsi="Times New Roman" w:cs="Times New Roman"/>
      <w:color w:val="000000"/>
      <w:lang w:eastAsia="en-AU"/>
    </w:rPr>
  </w:style>
  <w:style w:type="paragraph" w:customStyle="1" w:styleId="Tabletext0">
    <w:name w:val="Table text"/>
    <w:basedOn w:val="Normal"/>
    <w:link w:val="TabletextChar"/>
    <w:qFormat/>
    <w:rsid w:val="004A1DF7"/>
    <w:pPr>
      <w:spacing w:before="60" w:after="60" w:line="312" w:lineRule="auto"/>
    </w:pPr>
    <w:rPr>
      <w:rFonts w:asciiTheme="minorHAnsi" w:hAnsiTheme="minorHAnsi"/>
      <w:sz w:val="20"/>
      <w:szCs w:val="20"/>
      <w:lang w:eastAsia="en-AU"/>
    </w:rPr>
  </w:style>
  <w:style w:type="character" w:customStyle="1" w:styleId="TabletextChar">
    <w:name w:val="Table text Char"/>
    <w:basedOn w:val="DefaultParagraphFont"/>
    <w:link w:val="Tabletext0"/>
    <w:locked/>
    <w:rsid w:val="004A1DF7"/>
    <w:rPr>
      <w:rFonts w:asciiTheme="minorHAnsi" w:hAnsiTheme="minorHAnsi" w:cs="Times New Roman"/>
      <w:sz w:val="20"/>
      <w:szCs w:val="20"/>
      <w:lang w:val="x-none" w:eastAsia="en-AU"/>
    </w:rPr>
  </w:style>
  <w:style w:type="paragraph" w:customStyle="1" w:styleId="NormalBulleted10pt">
    <w:name w:val="Normal Bulleted +10 pt"/>
    <w:basedOn w:val="Normal"/>
    <w:qFormat/>
    <w:rsid w:val="004A1DF7"/>
    <w:pPr>
      <w:tabs>
        <w:tab w:val="num" w:pos="360"/>
      </w:tabs>
      <w:spacing w:before="60" w:after="0"/>
      <w:ind w:left="431" w:hanging="431"/>
      <w:contextualSpacing/>
    </w:pPr>
    <w:rPr>
      <w:rFonts w:asciiTheme="minorHAnsi" w:hAnsiTheme="minorHAnsi" w:cs="Arial"/>
      <w:color w:val="000000" w:themeColor="text1"/>
      <w:sz w:val="20"/>
      <w:szCs w:val="22"/>
      <w:lang w:eastAsia="en-AU"/>
    </w:rPr>
  </w:style>
  <w:style w:type="paragraph" w:styleId="NormalWeb">
    <w:name w:val="Normal (Web)"/>
    <w:basedOn w:val="Normal"/>
    <w:uiPriority w:val="99"/>
    <w:semiHidden/>
    <w:unhideWhenUsed/>
    <w:locked/>
    <w:rsid w:val="00FC0CB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aliases w:val="List Paragraph1,Recommendation,List Paragraph11,dot point 1,Body Text1,List Bullet Cab,Bullet Point,Bullet point,Bulletr List Paragraph,Content descriptions,FooterText,L,List Bullet 1,List Paragraph2,List Paragraph21,Listeafsnit1,リスト段落"/>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aliases w:val="List Paragraph1 Char,Recommendation Char,List Paragraph11 Char,dot point 1 Char,Body Text1 Char,List Bullet Cab Char,Bullet Point Char,Bullet point Char,Bulletr List Paragraph Char,Content descriptions Char,FooterText Char,L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2416D6"/>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4A1DF7"/>
    <w:pPr>
      <w:spacing w:before="100" w:beforeAutospacing="1" w:after="100" w:afterAutospacing="1"/>
    </w:pPr>
    <w:rPr>
      <w:rFonts w:ascii="Times New Roman" w:hAnsi="Times New Roman"/>
      <w:sz w:val="24"/>
      <w:lang w:eastAsia="en-AU"/>
    </w:rPr>
  </w:style>
  <w:style w:type="paragraph" w:customStyle="1" w:styleId="Default">
    <w:name w:val="Default"/>
    <w:rsid w:val="004A1DF7"/>
    <w:pPr>
      <w:autoSpaceDE w:val="0"/>
      <w:autoSpaceDN w:val="0"/>
      <w:adjustRightInd w:val="0"/>
      <w:spacing w:before="0" w:after="0"/>
    </w:pPr>
    <w:rPr>
      <w:rFonts w:ascii="Times New Roman" w:hAnsi="Times New Roman" w:cs="Times New Roman"/>
      <w:color w:val="000000"/>
      <w:lang w:eastAsia="en-AU"/>
    </w:rPr>
  </w:style>
  <w:style w:type="paragraph" w:customStyle="1" w:styleId="Tabletext0">
    <w:name w:val="Table text"/>
    <w:basedOn w:val="Normal"/>
    <w:link w:val="TabletextChar"/>
    <w:qFormat/>
    <w:rsid w:val="004A1DF7"/>
    <w:pPr>
      <w:spacing w:before="60" w:after="60" w:line="312" w:lineRule="auto"/>
    </w:pPr>
    <w:rPr>
      <w:rFonts w:asciiTheme="minorHAnsi" w:hAnsiTheme="minorHAnsi"/>
      <w:sz w:val="20"/>
      <w:szCs w:val="20"/>
      <w:lang w:eastAsia="en-AU"/>
    </w:rPr>
  </w:style>
  <w:style w:type="character" w:customStyle="1" w:styleId="TabletextChar">
    <w:name w:val="Table text Char"/>
    <w:basedOn w:val="DefaultParagraphFont"/>
    <w:link w:val="Tabletext0"/>
    <w:locked/>
    <w:rsid w:val="004A1DF7"/>
    <w:rPr>
      <w:rFonts w:asciiTheme="minorHAnsi" w:hAnsiTheme="minorHAnsi" w:cs="Times New Roman"/>
      <w:sz w:val="20"/>
      <w:szCs w:val="20"/>
      <w:lang w:val="x-none" w:eastAsia="en-AU"/>
    </w:rPr>
  </w:style>
  <w:style w:type="paragraph" w:customStyle="1" w:styleId="NormalBulleted10pt">
    <w:name w:val="Normal Bulleted +10 pt"/>
    <w:basedOn w:val="Normal"/>
    <w:qFormat/>
    <w:rsid w:val="004A1DF7"/>
    <w:pPr>
      <w:tabs>
        <w:tab w:val="num" w:pos="360"/>
      </w:tabs>
      <w:spacing w:before="60" w:after="0"/>
      <w:ind w:left="431" w:hanging="431"/>
      <w:contextualSpacing/>
    </w:pPr>
    <w:rPr>
      <w:rFonts w:asciiTheme="minorHAnsi" w:hAnsiTheme="minorHAnsi" w:cs="Arial"/>
      <w:color w:val="000000" w:themeColor="text1"/>
      <w:sz w:val="20"/>
      <w:szCs w:val="22"/>
      <w:lang w:eastAsia="en-AU"/>
    </w:rPr>
  </w:style>
  <w:style w:type="paragraph" w:styleId="NormalWeb">
    <w:name w:val="Normal (Web)"/>
    <w:basedOn w:val="Normal"/>
    <w:uiPriority w:val="99"/>
    <w:semiHidden/>
    <w:unhideWhenUsed/>
    <w:locked/>
    <w:rsid w:val="00FC0C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373">
      <w:marLeft w:val="0"/>
      <w:marRight w:val="0"/>
      <w:marTop w:val="0"/>
      <w:marBottom w:val="0"/>
      <w:divBdr>
        <w:top w:val="none" w:sz="0" w:space="0" w:color="auto"/>
        <w:left w:val="none" w:sz="0" w:space="0" w:color="auto"/>
        <w:bottom w:val="none" w:sz="0" w:space="0" w:color="auto"/>
        <w:right w:val="none" w:sz="0" w:space="0" w:color="auto"/>
      </w:divBdr>
    </w:div>
    <w:div w:id="38867375">
      <w:marLeft w:val="0"/>
      <w:marRight w:val="0"/>
      <w:marTop w:val="0"/>
      <w:marBottom w:val="0"/>
      <w:divBdr>
        <w:top w:val="none" w:sz="0" w:space="0" w:color="auto"/>
        <w:left w:val="none" w:sz="0" w:space="0" w:color="auto"/>
        <w:bottom w:val="none" w:sz="0" w:space="0" w:color="auto"/>
        <w:right w:val="none" w:sz="0" w:space="0" w:color="auto"/>
      </w:divBdr>
      <w:divsChild>
        <w:div w:id="38867368">
          <w:marLeft w:val="0"/>
          <w:marRight w:val="0"/>
          <w:marTop w:val="240"/>
          <w:marBottom w:val="0"/>
          <w:divBdr>
            <w:top w:val="none" w:sz="0" w:space="0" w:color="auto"/>
            <w:left w:val="none" w:sz="0" w:space="0" w:color="auto"/>
            <w:bottom w:val="none" w:sz="0" w:space="0" w:color="auto"/>
            <w:right w:val="none" w:sz="0" w:space="0" w:color="auto"/>
          </w:divBdr>
          <w:divsChild>
            <w:div w:id="38867371">
              <w:marLeft w:val="0"/>
              <w:marRight w:val="0"/>
              <w:marTop w:val="0"/>
              <w:marBottom w:val="0"/>
              <w:divBdr>
                <w:top w:val="none" w:sz="0" w:space="0" w:color="auto"/>
                <w:left w:val="none" w:sz="0" w:space="0" w:color="auto"/>
                <w:bottom w:val="none" w:sz="0" w:space="0" w:color="auto"/>
                <w:right w:val="none" w:sz="0" w:space="0" w:color="auto"/>
              </w:divBdr>
              <w:divsChild>
                <w:div w:id="38867374">
                  <w:marLeft w:val="0"/>
                  <w:marRight w:val="0"/>
                  <w:marTop w:val="0"/>
                  <w:marBottom w:val="0"/>
                  <w:divBdr>
                    <w:top w:val="none" w:sz="0" w:space="0" w:color="auto"/>
                    <w:left w:val="none" w:sz="0" w:space="0" w:color="auto"/>
                    <w:bottom w:val="none" w:sz="0" w:space="0" w:color="auto"/>
                    <w:right w:val="none" w:sz="0" w:space="0" w:color="auto"/>
                  </w:divBdr>
                  <w:divsChild>
                    <w:div w:id="38867370">
                      <w:marLeft w:val="0"/>
                      <w:marRight w:val="0"/>
                      <w:marTop w:val="0"/>
                      <w:marBottom w:val="0"/>
                      <w:divBdr>
                        <w:top w:val="none" w:sz="0" w:space="0" w:color="auto"/>
                        <w:left w:val="none" w:sz="0" w:space="0" w:color="auto"/>
                        <w:bottom w:val="none" w:sz="0" w:space="0" w:color="auto"/>
                        <w:right w:val="none" w:sz="0" w:space="0" w:color="auto"/>
                      </w:divBdr>
                      <w:divsChild>
                        <w:div w:id="38867372">
                          <w:marLeft w:val="0"/>
                          <w:marRight w:val="0"/>
                          <w:marTop w:val="0"/>
                          <w:marBottom w:val="0"/>
                          <w:divBdr>
                            <w:top w:val="none" w:sz="0" w:space="0" w:color="auto"/>
                            <w:left w:val="none" w:sz="0" w:space="0" w:color="auto"/>
                            <w:bottom w:val="none" w:sz="0" w:space="0" w:color="auto"/>
                            <w:right w:val="none" w:sz="0" w:space="0" w:color="auto"/>
                          </w:divBdr>
                          <w:divsChild>
                            <w:div w:id="38867367">
                              <w:marLeft w:val="0"/>
                              <w:marRight w:val="0"/>
                              <w:marTop w:val="0"/>
                              <w:marBottom w:val="0"/>
                              <w:divBdr>
                                <w:top w:val="none" w:sz="0" w:space="0" w:color="auto"/>
                                <w:left w:val="none" w:sz="0" w:space="0" w:color="auto"/>
                                <w:bottom w:val="none" w:sz="0" w:space="0" w:color="auto"/>
                                <w:right w:val="none" w:sz="0" w:space="0" w:color="auto"/>
                              </w:divBdr>
                              <w:divsChild>
                                <w:div w:id="388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0305">
      <w:bodyDiv w:val="1"/>
      <w:marLeft w:val="0"/>
      <w:marRight w:val="0"/>
      <w:marTop w:val="0"/>
      <w:marBottom w:val="0"/>
      <w:divBdr>
        <w:top w:val="none" w:sz="0" w:space="0" w:color="auto"/>
        <w:left w:val="none" w:sz="0" w:space="0" w:color="auto"/>
        <w:bottom w:val="none" w:sz="0" w:space="0" w:color="auto"/>
        <w:right w:val="none" w:sz="0" w:space="0" w:color="auto"/>
      </w:divBdr>
    </w:div>
    <w:div w:id="214661978">
      <w:bodyDiv w:val="1"/>
      <w:marLeft w:val="0"/>
      <w:marRight w:val="0"/>
      <w:marTop w:val="0"/>
      <w:marBottom w:val="0"/>
      <w:divBdr>
        <w:top w:val="none" w:sz="0" w:space="0" w:color="auto"/>
        <w:left w:val="none" w:sz="0" w:space="0" w:color="auto"/>
        <w:bottom w:val="none" w:sz="0" w:space="0" w:color="auto"/>
        <w:right w:val="none" w:sz="0" w:space="0" w:color="auto"/>
      </w:divBdr>
    </w:div>
    <w:div w:id="329404956">
      <w:bodyDiv w:val="1"/>
      <w:marLeft w:val="0"/>
      <w:marRight w:val="0"/>
      <w:marTop w:val="0"/>
      <w:marBottom w:val="0"/>
      <w:divBdr>
        <w:top w:val="none" w:sz="0" w:space="0" w:color="auto"/>
        <w:left w:val="none" w:sz="0" w:space="0" w:color="auto"/>
        <w:bottom w:val="none" w:sz="0" w:space="0" w:color="auto"/>
        <w:right w:val="none" w:sz="0" w:space="0" w:color="auto"/>
      </w:divBdr>
    </w:div>
    <w:div w:id="344750048">
      <w:bodyDiv w:val="1"/>
      <w:marLeft w:val="0"/>
      <w:marRight w:val="0"/>
      <w:marTop w:val="0"/>
      <w:marBottom w:val="0"/>
      <w:divBdr>
        <w:top w:val="none" w:sz="0" w:space="0" w:color="auto"/>
        <w:left w:val="none" w:sz="0" w:space="0" w:color="auto"/>
        <w:bottom w:val="none" w:sz="0" w:space="0" w:color="auto"/>
        <w:right w:val="none" w:sz="0" w:space="0" w:color="auto"/>
      </w:divBdr>
    </w:div>
    <w:div w:id="452099341">
      <w:bodyDiv w:val="1"/>
      <w:marLeft w:val="0"/>
      <w:marRight w:val="0"/>
      <w:marTop w:val="0"/>
      <w:marBottom w:val="0"/>
      <w:divBdr>
        <w:top w:val="none" w:sz="0" w:space="0" w:color="auto"/>
        <w:left w:val="none" w:sz="0" w:space="0" w:color="auto"/>
        <w:bottom w:val="none" w:sz="0" w:space="0" w:color="auto"/>
        <w:right w:val="none" w:sz="0" w:space="0" w:color="auto"/>
      </w:divBdr>
    </w:div>
    <w:div w:id="607007405">
      <w:bodyDiv w:val="1"/>
      <w:marLeft w:val="0"/>
      <w:marRight w:val="0"/>
      <w:marTop w:val="0"/>
      <w:marBottom w:val="0"/>
      <w:divBdr>
        <w:top w:val="none" w:sz="0" w:space="0" w:color="auto"/>
        <w:left w:val="none" w:sz="0" w:space="0" w:color="auto"/>
        <w:bottom w:val="none" w:sz="0" w:space="0" w:color="auto"/>
        <w:right w:val="none" w:sz="0" w:space="0" w:color="auto"/>
      </w:divBdr>
    </w:div>
    <w:div w:id="648705241">
      <w:bodyDiv w:val="1"/>
      <w:marLeft w:val="0"/>
      <w:marRight w:val="0"/>
      <w:marTop w:val="0"/>
      <w:marBottom w:val="0"/>
      <w:divBdr>
        <w:top w:val="none" w:sz="0" w:space="0" w:color="auto"/>
        <w:left w:val="none" w:sz="0" w:space="0" w:color="auto"/>
        <w:bottom w:val="none" w:sz="0" w:space="0" w:color="auto"/>
        <w:right w:val="none" w:sz="0" w:space="0" w:color="auto"/>
      </w:divBdr>
    </w:div>
    <w:div w:id="676687878">
      <w:bodyDiv w:val="1"/>
      <w:marLeft w:val="0"/>
      <w:marRight w:val="0"/>
      <w:marTop w:val="0"/>
      <w:marBottom w:val="0"/>
      <w:divBdr>
        <w:top w:val="none" w:sz="0" w:space="0" w:color="auto"/>
        <w:left w:val="none" w:sz="0" w:space="0" w:color="auto"/>
        <w:bottom w:val="none" w:sz="0" w:space="0" w:color="auto"/>
        <w:right w:val="none" w:sz="0" w:space="0" w:color="auto"/>
      </w:divBdr>
    </w:div>
    <w:div w:id="861817967">
      <w:bodyDiv w:val="1"/>
      <w:marLeft w:val="0"/>
      <w:marRight w:val="0"/>
      <w:marTop w:val="0"/>
      <w:marBottom w:val="0"/>
      <w:divBdr>
        <w:top w:val="none" w:sz="0" w:space="0" w:color="auto"/>
        <w:left w:val="none" w:sz="0" w:space="0" w:color="auto"/>
        <w:bottom w:val="none" w:sz="0" w:space="0" w:color="auto"/>
        <w:right w:val="none" w:sz="0" w:space="0" w:color="auto"/>
      </w:divBdr>
    </w:div>
    <w:div w:id="1201747476">
      <w:bodyDiv w:val="1"/>
      <w:marLeft w:val="0"/>
      <w:marRight w:val="0"/>
      <w:marTop w:val="0"/>
      <w:marBottom w:val="0"/>
      <w:divBdr>
        <w:top w:val="none" w:sz="0" w:space="0" w:color="auto"/>
        <w:left w:val="none" w:sz="0" w:space="0" w:color="auto"/>
        <w:bottom w:val="none" w:sz="0" w:space="0" w:color="auto"/>
        <w:right w:val="none" w:sz="0" w:space="0" w:color="auto"/>
      </w:divBdr>
    </w:div>
    <w:div w:id="1367100867">
      <w:bodyDiv w:val="1"/>
      <w:marLeft w:val="0"/>
      <w:marRight w:val="0"/>
      <w:marTop w:val="0"/>
      <w:marBottom w:val="0"/>
      <w:divBdr>
        <w:top w:val="none" w:sz="0" w:space="0" w:color="auto"/>
        <w:left w:val="none" w:sz="0" w:space="0" w:color="auto"/>
        <w:bottom w:val="none" w:sz="0" w:space="0" w:color="auto"/>
        <w:right w:val="none" w:sz="0" w:space="0" w:color="auto"/>
      </w:divBdr>
    </w:div>
    <w:div w:id="1433278955">
      <w:bodyDiv w:val="1"/>
      <w:marLeft w:val="0"/>
      <w:marRight w:val="0"/>
      <w:marTop w:val="0"/>
      <w:marBottom w:val="0"/>
      <w:divBdr>
        <w:top w:val="none" w:sz="0" w:space="0" w:color="auto"/>
        <w:left w:val="none" w:sz="0" w:space="0" w:color="auto"/>
        <w:bottom w:val="none" w:sz="0" w:space="0" w:color="auto"/>
        <w:right w:val="none" w:sz="0" w:space="0" w:color="auto"/>
      </w:divBdr>
    </w:div>
    <w:div w:id="1573152691">
      <w:bodyDiv w:val="1"/>
      <w:marLeft w:val="0"/>
      <w:marRight w:val="0"/>
      <w:marTop w:val="0"/>
      <w:marBottom w:val="0"/>
      <w:divBdr>
        <w:top w:val="none" w:sz="0" w:space="0" w:color="auto"/>
        <w:left w:val="none" w:sz="0" w:space="0" w:color="auto"/>
        <w:bottom w:val="none" w:sz="0" w:space="0" w:color="auto"/>
        <w:right w:val="none" w:sz="0" w:space="0" w:color="auto"/>
      </w:divBdr>
    </w:div>
    <w:div w:id="1574123186">
      <w:bodyDiv w:val="1"/>
      <w:marLeft w:val="0"/>
      <w:marRight w:val="0"/>
      <w:marTop w:val="0"/>
      <w:marBottom w:val="0"/>
      <w:divBdr>
        <w:top w:val="none" w:sz="0" w:space="0" w:color="auto"/>
        <w:left w:val="none" w:sz="0" w:space="0" w:color="auto"/>
        <w:bottom w:val="none" w:sz="0" w:space="0" w:color="auto"/>
        <w:right w:val="none" w:sz="0" w:space="0" w:color="auto"/>
      </w:divBdr>
    </w:div>
    <w:div w:id="18311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9.health.gov.au/mbs/search.cfm?q=TN.8.2&amp;Submit=&amp;sopt=S" TargetMode="External"/><Relationship Id="rId18" Type="http://schemas.openxmlformats.org/officeDocument/2006/relationships/hyperlink" Target="http://www9.health.gov.au/mbs/search.cfm?q=TN.8.2&amp;Submit=&amp;sop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9.health.gov.au/mbs/search.cfm?q=TN.8.2&amp;Submit=&amp;sopt=S" TargetMode="External"/><Relationship Id="rId17" Type="http://schemas.openxmlformats.org/officeDocument/2006/relationships/hyperlink" Target="http://www9.health.gov.au/mbs/search.cfm?q=TN.8.2&amp;Submit=&amp;sopt=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9.health.gov.au/mbs/search.cfm?q=TN.8.2&amp;Submit=&amp;sop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9.health.gov.au/mbs/search.cfm?q=TN.8.2&amp;Submit=&amp;sopt=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9.health.gov.au/mbs/search.cfm?q=TN.8.2&amp;Submit=&amp;sopt=S" TargetMode="External"/><Relationship Id="rId23" Type="http://schemas.openxmlformats.org/officeDocument/2006/relationships/footer" Target="footer2.xml"/><Relationship Id="rId10" Type="http://schemas.openxmlformats.org/officeDocument/2006/relationships/hyperlink" Target="http://www9.health.gov.au/mbs/search.cfm?q=TN.8.2&amp;Submit=&amp;sopt=S" TargetMode="External"/><Relationship Id="rId19" Type="http://schemas.openxmlformats.org/officeDocument/2006/relationships/hyperlink" Target="http://www9.health.gov.au/mbs/search.cfm?q=TN.8.2&amp;Submit=&amp;sopt=S" TargetMode="External"/><Relationship Id="rId4" Type="http://schemas.microsoft.com/office/2007/relationships/stylesWithEffects" Target="stylesWithEffects.xml"/><Relationship Id="rId9" Type="http://schemas.openxmlformats.org/officeDocument/2006/relationships/hyperlink" Target="http://www9.health.gov.au/mbs/search.cfm?q=TN.8.2&amp;Submit=&amp;sopt=S" TargetMode="External"/><Relationship Id="rId14" Type="http://schemas.openxmlformats.org/officeDocument/2006/relationships/hyperlink" Target="http://www9.health.gov.au/mbs/search.cfm?q=TN.8.2&amp;Submit=&amp;sopt=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BFFF11-D0A7-4212-A7C5-388C7673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1461</Words>
  <Characters>8997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3</cp:revision>
  <cp:lastPrinted>2017-06-21T03:57:00Z</cp:lastPrinted>
  <dcterms:created xsi:type="dcterms:W3CDTF">2017-11-08T04:10:00Z</dcterms:created>
  <dcterms:modified xsi:type="dcterms:W3CDTF">2017-11-08T04:15:00Z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