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4AD538A3" w:rsidR="00BA2732" w:rsidRDefault="0002135E" w:rsidP="003D033A">
      <w:pPr>
        <w:pStyle w:val="Title"/>
      </w:pPr>
      <w:bookmarkStart w:id="0" w:name="_Hlk180490589"/>
      <w:r>
        <w:t>Amendments to M</w:t>
      </w:r>
      <w:r w:rsidR="00025D46">
        <w:t xml:space="preserve">edicare Benefits Schedule (MBS) for </w:t>
      </w:r>
      <w:r w:rsidR="00DB686F">
        <w:t>Vitamin B12 testing</w:t>
      </w:r>
      <w:r w:rsidR="00025D46">
        <w:t xml:space="preserve"> </w:t>
      </w:r>
    </w:p>
    <w:p w14:paraId="6EFD4B5B" w14:textId="19E305FF" w:rsidR="00064168" w:rsidRDefault="00064168" w:rsidP="006F5073">
      <w:bookmarkStart w:id="1" w:name="_Hlk4568006"/>
      <w:bookmarkEnd w:id="0"/>
      <w:r w:rsidRPr="00867595">
        <w:t xml:space="preserve">Last </w:t>
      </w:r>
      <w:r w:rsidRPr="003D2BA5">
        <w:t xml:space="preserve">updated: </w:t>
      </w:r>
      <w:r w:rsidR="00ED476B">
        <w:t>3 June</w:t>
      </w:r>
      <w:r w:rsidRPr="003D2BA5">
        <w:t xml:space="preserve"> 20</w:t>
      </w:r>
      <w:r w:rsidR="00025D46" w:rsidRPr="003D2BA5">
        <w:t>2</w:t>
      </w:r>
      <w:r w:rsidR="00A94577" w:rsidRPr="003D2BA5">
        <w:t>5</w:t>
      </w:r>
    </w:p>
    <w:bookmarkEnd w:id="1"/>
    <w:p w14:paraId="44460BF5" w14:textId="29A2ED51" w:rsidR="00064168" w:rsidRPr="00867595" w:rsidRDefault="00064168" w:rsidP="00064168">
      <w:pPr>
        <w:pStyle w:val="Heading2"/>
      </w:pPr>
      <w:r w:rsidRPr="00867595">
        <w:t>What are the changes?</w:t>
      </w:r>
    </w:p>
    <w:p w14:paraId="13FE46D8" w14:textId="0096F18D" w:rsidR="006C6F4B" w:rsidRPr="00126EAB" w:rsidRDefault="00ED476B" w:rsidP="006C6F4B">
      <w:pPr>
        <w:rPr>
          <w:szCs w:val="22"/>
        </w:rPr>
      </w:pPr>
      <w:r>
        <w:rPr>
          <w:szCs w:val="22"/>
        </w:rPr>
        <w:t>F</w:t>
      </w:r>
      <w:r w:rsidR="006C6F4B" w:rsidRPr="00126EAB">
        <w:rPr>
          <w:szCs w:val="22"/>
        </w:rPr>
        <w:t>rom 1 July 2025, Medicare Benefits Schedule (MBS) item</w:t>
      </w:r>
      <w:r w:rsidR="00DB686F" w:rsidRPr="00126EAB">
        <w:rPr>
          <w:szCs w:val="22"/>
        </w:rPr>
        <w:t>s for vitamin B12 (</w:t>
      </w:r>
      <w:r w:rsidR="00833CFB" w:rsidRPr="00126EAB">
        <w:rPr>
          <w:szCs w:val="22"/>
        </w:rPr>
        <w:t xml:space="preserve">66838 and 66839) </w:t>
      </w:r>
      <w:r w:rsidR="006C6F4B" w:rsidRPr="00126EAB">
        <w:rPr>
          <w:szCs w:val="22"/>
        </w:rPr>
        <w:t xml:space="preserve">will be amended to </w:t>
      </w:r>
      <w:r w:rsidR="00D52F6D" w:rsidRPr="00126EAB">
        <w:rPr>
          <w:szCs w:val="22"/>
        </w:rPr>
        <w:t xml:space="preserve">clarify the appropriate testing pathway of these items and </w:t>
      </w:r>
      <w:r w:rsidR="006C6F4B" w:rsidRPr="00126EAB">
        <w:rPr>
          <w:szCs w:val="22"/>
        </w:rPr>
        <w:t xml:space="preserve">improve patient outcomes. </w:t>
      </w:r>
    </w:p>
    <w:p w14:paraId="01C00251" w14:textId="3D1CF681" w:rsidR="002C37D2" w:rsidRDefault="00C9708B" w:rsidP="00440617">
      <w:pPr>
        <w:spacing w:after="0"/>
        <w:rPr>
          <w:szCs w:val="22"/>
        </w:rPr>
      </w:pPr>
      <w:r w:rsidRPr="00126EAB">
        <w:rPr>
          <w:szCs w:val="22"/>
        </w:rPr>
        <w:t>T</w:t>
      </w:r>
      <w:r w:rsidR="002C37D2">
        <w:rPr>
          <w:szCs w:val="22"/>
        </w:rPr>
        <w:t>o support testing for patients where holotranscobalamin, also called active vitamin B12, is recommended as the initial vitamin B12 test, t</w:t>
      </w:r>
      <w:r w:rsidRPr="00126EAB">
        <w:rPr>
          <w:szCs w:val="22"/>
        </w:rPr>
        <w:t xml:space="preserve">his amendment will </w:t>
      </w:r>
      <w:r w:rsidR="00DE1A4B" w:rsidRPr="00126EAB">
        <w:rPr>
          <w:szCs w:val="22"/>
        </w:rPr>
        <w:t>include holotranscobalamin as a first-line test to quantify vitamin B12 levels (</w:t>
      </w:r>
      <w:r w:rsidR="005F7E4B" w:rsidRPr="00126EAB">
        <w:rPr>
          <w:szCs w:val="22"/>
        </w:rPr>
        <w:t xml:space="preserve">66838). </w:t>
      </w:r>
    </w:p>
    <w:p w14:paraId="7872796A" w14:textId="6E2AF822" w:rsidR="000F7F8F" w:rsidRPr="00126EAB" w:rsidRDefault="002C37D2" w:rsidP="00440617">
      <w:pPr>
        <w:spacing w:after="0"/>
        <w:rPr>
          <w:bCs/>
          <w:szCs w:val="22"/>
        </w:rPr>
      </w:pPr>
      <w:r>
        <w:rPr>
          <w:szCs w:val="22"/>
        </w:rPr>
        <w:t>Item 6683</w:t>
      </w:r>
      <w:r w:rsidR="00F8630F">
        <w:rPr>
          <w:szCs w:val="22"/>
        </w:rPr>
        <w:t>9</w:t>
      </w:r>
      <w:r>
        <w:rPr>
          <w:szCs w:val="22"/>
        </w:rPr>
        <w:t xml:space="preserve"> continues to support homocysteine or methylmalonic acid testing in patients with a clinical need for assessment of these vitamin B12 markers. </w:t>
      </w:r>
      <w:r w:rsidR="008F2128">
        <w:rPr>
          <w:bCs/>
          <w:szCs w:val="22"/>
        </w:rPr>
        <w:t>A</w:t>
      </w:r>
      <w:r w:rsidR="000F7F8F" w:rsidRPr="00126EAB">
        <w:rPr>
          <w:bCs/>
          <w:szCs w:val="22"/>
        </w:rPr>
        <w:t xml:space="preserve">n </w:t>
      </w:r>
      <w:r w:rsidR="006F6063" w:rsidRPr="00126EAB">
        <w:rPr>
          <w:bCs/>
          <w:szCs w:val="22"/>
        </w:rPr>
        <w:t>11-month</w:t>
      </w:r>
      <w:r w:rsidR="000F7F8F" w:rsidRPr="00126EAB">
        <w:rPr>
          <w:bCs/>
          <w:szCs w:val="22"/>
        </w:rPr>
        <w:t xml:space="preserve"> frequency restriction will be implemented on the quantification of Vitamin B12 markers such as homocysteine or methylmalonic acid</w:t>
      </w:r>
      <w:r w:rsidR="006F6063">
        <w:rPr>
          <w:bCs/>
          <w:szCs w:val="22"/>
        </w:rPr>
        <w:t xml:space="preserve"> (66839)</w:t>
      </w:r>
      <w:r w:rsidR="000F7F8F" w:rsidRPr="00126EAB">
        <w:rPr>
          <w:bCs/>
          <w:szCs w:val="22"/>
        </w:rPr>
        <w:t>. This change align</w:t>
      </w:r>
      <w:r w:rsidR="008F2128">
        <w:rPr>
          <w:bCs/>
          <w:szCs w:val="22"/>
        </w:rPr>
        <w:t>s</w:t>
      </w:r>
      <w:r w:rsidR="000F7F8F" w:rsidRPr="00126EAB">
        <w:rPr>
          <w:bCs/>
          <w:szCs w:val="22"/>
        </w:rPr>
        <w:t xml:space="preserve"> with the existing frequency restriction in place for the quantification of total vitamin B12 and holotranscobalamin (66838). </w:t>
      </w:r>
    </w:p>
    <w:p w14:paraId="06488A65" w14:textId="3531F54F" w:rsidR="00527D63" w:rsidRDefault="000F7F8F" w:rsidP="00440617">
      <w:pPr>
        <w:rPr>
          <w:bCs/>
          <w:szCs w:val="22"/>
        </w:rPr>
      </w:pPr>
      <w:r w:rsidRPr="00126EAB">
        <w:rPr>
          <w:bCs/>
          <w:szCs w:val="22"/>
        </w:rPr>
        <w:t xml:space="preserve">The introduction of a new exception item for </w:t>
      </w:r>
      <w:r w:rsidR="009773B6">
        <w:rPr>
          <w:bCs/>
          <w:szCs w:val="22"/>
        </w:rPr>
        <w:t>v</w:t>
      </w:r>
      <w:r w:rsidR="009773B6" w:rsidRPr="00126EAB">
        <w:rPr>
          <w:bCs/>
          <w:szCs w:val="22"/>
        </w:rPr>
        <w:t xml:space="preserve">itamin </w:t>
      </w:r>
      <w:r w:rsidRPr="00126EAB">
        <w:rPr>
          <w:bCs/>
          <w:szCs w:val="22"/>
        </w:rPr>
        <w:t xml:space="preserve">B12 testing (at same fee as 66838) will enable more frequent testing for those with a clinical need. This includes patients requiring subsequent testing following inconclusive initial vitamin B12 test results, or those who have risk factors for abnormal vitamin B12 levels (such as low dietary intake, family history, previous abdominal or pelvic radiotherapy, previous gastrointestinal tract surgery, recreational nitrous oxide use, </w:t>
      </w:r>
      <w:r w:rsidR="009773B6">
        <w:rPr>
          <w:bCs/>
          <w:szCs w:val="22"/>
        </w:rPr>
        <w:t xml:space="preserve">or other </w:t>
      </w:r>
      <w:r w:rsidRPr="00126EAB">
        <w:rPr>
          <w:bCs/>
          <w:szCs w:val="22"/>
        </w:rPr>
        <w:t>clinical conditions with a risk of B12 deficiency).</w:t>
      </w:r>
    </w:p>
    <w:p w14:paraId="0915BF17" w14:textId="7A2A25C3" w:rsidR="00C9708B" w:rsidRPr="00126EAB" w:rsidRDefault="00527D63" w:rsidP="00440617">
      <w:pPr>
        <w:rPr>
          <w:szCs w:val="22"/>
        </w:rPr>
      </w:pPr>
      <w:r>
        <w:t>Practitioners will be able to request more frequent vitamin B12 testing for those patient groups with a clinical need under the new exception item 66842.</w:t>
      </w:r>
      <w:r w:rsidR="002C37D2">
        <w:rPr>
          <w:bCs/>
          <w:szCs w:val="22"/>
        </w:rPr>
        <w:t xml:space="preserve"> There are no restrictions on the frequency or number of tests per year under </w:t>
      </w:r>
      <w:r w:rsidR="00364F99">
        <w:rPr>
          <w:bCs/>
          <w:szCs w:val="22"/>
        </w:rPr>
        <w:t xml:space="preserve">item </w:t>
      </w:r>
      <w:r w:rsidR="002C37D2">
        <w:rPr>
          <w:bCs/>
          <w:szCs w:val="22"/>
        </w:rPr>
        <w:t>668</w:t>
      </w:r>
      <w:r>
        <w:rPr>
          <w:bCs/>
          <w:szCs w:val="22"/>
        </w:rPr>
        <w:t>42</w:t>
      </w:r>
      <w:r w:rsidR="002C37D2">
        <w:rPr>
          <w:bCs/>
          <w:szCs w:val="22"/>
        </w:rPr>
        <w:t>, which allows the clinician to determine the appropriate testing frequency for the patient they are treating.</w:t>
      </w:r>
    </w:p>
    <w:p w14:paraId="42BD5171" w14:textId="77777777" w:rsidR="00064168" w:rsidRDefault="00064168" w:rsidP="00064168">
      <w:pPr>
        <w:pStyle w:val="Heading2"/>
      </w:pPr>
      <w:r>
        <w:t>Why are the changes being made?</w:t>
      </w:r>
    </w:p>
    <w:p w14:paraId="7F97039B" w14:textId="70C9C0AE" w:rsidR="00B54F04" w:rsidRDefault="00EC3C23" w:rsidP="00064168">
      <w:bookmarkStart w:id="2" w:name="_Hlk535386664"/>
      <w:r>
        <w:t>These</w:t>
      </w:r>
      <w:r w:rsidR="00064168">
        <w:t xml:space="preserve"> changes are a result o</w:t>
      </w:r>
      <w:r w:rsidR="004D5E3F">
        <w:t>f</w:t>
      </w:r>
      <w:r w:rsidR="00064168">
        <w:t xml:space="preserve"> a review by the MBS Review Taskforce, which was informed by </w:t>
      </w:r>
      <w:r w:rsidR="006F6063">
        <w:t xml:space="preserve">a </w:t>
      </w:r>
      <w:hyperlink r:id="rId8" w:history="1">
        <w:r w:rsidR="0077512D" w:rsidRPr="006F6063">
          <w:rPr>
            <w:rStyle w:val="Hyperlink"/>
          </w:rPr>
          <w:t>Diagnostic Medicine</w:t>
        </w:r>
        <w:r w:rsidR="00064168" w:rsidRPr="006F6063">
          <w:rPr>
            <w:rStyle w:val="Hyperlink"/>
          </w:rPr>
          <w:t xml:space="preserve"> Clinical Committee</w:t>
        </w:r>
        <w:r w:rsidR="00C22E29" w:rsidRPr="006F6063">
          <w:rPr>
            <w:rStyle w:val="Hyperlink"/>
          </w:rPr>
          <w:t xml:space="preserve"> (DMCC) report</w:t>
        </w:r>
      </w:hyperlink>
      <w:r w:rsidR="00C22E29">
        <w:t xml:space="preserve"> published in 2018</w:t>
      </w:r>
      <w:r w:rsidR="00064168">
        <w:t xml:space="preserve">. </w:t>
      </w:r>
      <w:r w:rsidR="00B54F04">
        <w:t xml:space="preserve">The amendments to </w:t>
      </w:r>
      <w:r w:rsidR="00364F99">
        <w:t xml:space="preserve">vitamin </w:t>
      </w:r>
      <w:r w:rsidR="008A0B2A">
        <w:t>B12 test items</w:t>
      </w:r>
      <w:r w:rsidR="00B54F04">
        <w:t xml:space="preserve"> </w:t>
      </w:r>
      <w:r w:rsidR="00756527">
        <w:t xml:space="preserve">will </w:t>
      </w:r>
      <w:r w:rsidR="00A855FF">
        <w:t>clarify the appropriate testing pathway of vitamin B12 levels</w:t>
      </w:r>
      <w:r w:rsidR="002C37D2">
        <w:t>,</w:t>
      </w:r>
      <w:r w:rsidR="00A855FF">
        <w:t xml:space="preserve"> reduce clinically </w:t>
      </w:r>
      <w:r w:rsidR="004129D1">
        <w:t>unnecessary</w:t>
      </w:r>
      <w:r w:rsidR="00A855FF">
        <w:t xml:space="preserve"> testing</w:t>
      </w:r>
      <w:r w:rsidR="004129D1">
        <w:t xml:space="preserve"> </w:t>
      </w:r>
      <w:r w:rsidR="002C37D2">
        <w:t>and increase access to testing for patients wh</w:t>
      </w:r>
      <w:r w:rsidR="00F8603C">
        <w:t>ere</w:t>
      </w:r>
      <w:r w:rsidR="002C37D2">
        <w:t xml:space="preserve"> clinically require</w:t>
      </w:r>
      <w:r w:rsidR="00F8603C">
        <w:t>d</w:t>
      </w:r>
      <w:r w:rsidR="00F8630F">
        <w:t>,</w:t>
      </w:r>
      <w:r w:rsidR="002C37D2">
        <w:t xml:space="preserve"> contributing to improved patient outcomes</w:t>
      </w:r>
      <w:r w:rsidR="004129D1">
        <w:t>.</w:t>
      </w:r>
      <w:r w:rsidR="00756527">
        <w:t xml:space="preserve"> </w:t>
      </w:r>
    </w:p>
    <w:p w14:paraId="0991DE39" w14:textId="4BFC5698" w:rsidR="004F6674" w:rsidRPr="00867595" w:rsidRDefault="00064168" w:rsidP="00064168">
      <w:r>
        <w:t xml:space="preserve">More information about the Taskforce and associated Committees is available in </w:t>
      </w:r>
      <w:hyperlink r:id="rId9">
        <w:r w:rsidR="0019761F" w:rsidRPr="37A8CB26">
          <w:rPr>
            <w:rStyle w:val="Hyperlink"/>
          </w:rPr>
          <w:t>Medicare Benefits Schedule Review</w:t>
        </w:r>
      </w:hyperlink>
      <w:r>
        <w:t xml:space="preserve"> in the consumer section of the</w:t>
      </w:r>
      <w:r w:rsidR="00C02732">
        <w:t xml:space="preserve"> </w:t>
      </w:r>
      <w:hyperlink r:id="rId10">
        <w:r w:rsidR="006B2FB0">
          <w:rPr>
            <w:rStyle w:val="Hyperlink"/>
          </w:rPr>
          <w:t>Department of Health, Disability and Ageing (the department) website</w:t>
        </w:r>
      </w:hyperlink>
      <w:r>
        <w:t xml:space="preserve">. </w:t>
      </w:r>
    </w:p>
    <w:bookmarkEnd w:id="2"/>
    <w:p w14:paraId="2114376A" w14:textId="1A35EBD7" w:rsidR="004F6674" w:rsidRPr="004F6674" w:rsidRDefault="004F6674" w:rsidP="21C5C469">
      <w:pPr>
        <w:tabs>
          <w:tab w:val="left" w:pos="851"/>
        </w:tabs>
        <w:spacing w:after="60" w:line="240" w:lineRule="auto"/>
        <w:rPr>
          <w:rStyle w:val="Hyperlink"/>
          <w:rFonts w:cs="Arial"/>
          <w:color w:val="000000" w:themeColor="text1"/>
          <w:u w:val="none"/>
        </w:rPr>
      </w:pPr>
      <w:r w:rsidRPr="21C5C469">
        <w:rPr>
          <w:rFonts w:cs="Arial"/>
        </w:rPr>
        <w:lastRenderedPageBreak/>
        <w:t>These amendments have also been informed by</w:t>
      </w:r>
      <w:r w:rsidR="00D160B1">
        <w:rPr>
          <w:rFonts w:cs="Arial"/>
        </w:rPr>
        <w:t xml:space="preserve"> </w:t>
      </w:r>
      <w:r w:rsidRPr="21C5C469">
        <w:rPr>
          <w:rFonts w:cs="Arial"/>
        </w:rPr>
        <w:t xml:space="preserve">the latest </w:t>
      </w:r>
      <w:hyperlink r:id="rId11">
        <w:r w:rsidRPr="21C5C469">
          <w:rPr>
            <w:rStyle w:val="Hyperlink"/>
            <w:rFonts w:cs="Arial"/>
          </w:rPr>
          <w:t xml:space="preserve">NICE guidelines on </w:t>
        </w:r>
        <w:r w:rsidRPr="21C5C469">
          <w:rPr>
            <w:rStyle w:val="Hyperlink"/>
            <w:rFonts w:cs="Arial"/>
            <w:i/>
            <w:iCs/>
          </w:rPr>
          <w:t>Vitamin B12 deficiency in over 16s: diagnosis and management</w:t>
        </w:r>
      </w:hyperlink>
      <w:r w:rsidRPr="21C5C469">
        <w:rPr>
          <w:rFonts w:cs="Arial"/>
          <w:i/>
          <w:iCs/>
        </w:rPr>
        <w:t xml:space="preserve"> </w:t>
      </w:r>
      <w:r w:rsidRPr="21C5C469">
        <w:rPr>
          <w:rFonts w:cs="Arial"/>
        </w:rPr>
        <w:t xml:space="preserve">(March 2024) as well as Australian clinical practice guidelines such as the </w:t>
      </w:r>
      <w:hyperlink r:id="rId12">
        <w:r w:rsidRPr="21C5C469">
          <w:rPr>
            <w:rStyle w:val="Hyperlink"/>
            <w:rFonts w:cs="Arial"/>
          </w:rPr>
          <w:t>Royal Children’s Hospital Immigration Health Service</w:t>
        </w:r>
      </w:hyperlink>
      <w:r w:rsidR="007B2FFF">
        <w:rPr>
          <w:rFonts w:cs="Arial"/>
        </w:rPr>
        <w:t>.</w:t>
      </w:r>
    </w:p>
    <w:p w14:paraId="4B2559AC" w14:textId="2D4936FA" w:rsidR="00064168" w:rsidRDefault="00064168" w:rsidP="00064168">
      <w:pPr>
        <w:pStyle w:val="Heading2"/>
      </w:pPr>
      <w:r>
        <w:t xml:space="preserve">What does this mean for </w:t>
      </w:r>
      <w:r w:rsidR="004F6674">
        <w:t>providers</w:t>
      </w:r>
      <w:r>
        <w:t>?</w:t>
      </w:r>
    </w:p>
    <w:p w14:paraId="5D494332" w14:textId="1960FC07" w:rsidR="006F6063" w:rsidRDefault="00ED476B" w:rsidP="006F6063">
      <w:pPr>
        <w:rPr>
          <w:szCs w:val="22"/>
        </w:rPr>
      </w:pPr>
      <w:r>
        <w:rPr>
          <w:szCs w:val="22"/>
        </w:rPr>
        <w:t>F</w:t>
      </w:r>
      <w:r w:rsidR="006F6063" w:rsidRPr="006F6063">
        <w:rPr>
          <w:szCs w:val="22"/>
        </w:rPr>
        <w:t>rom 1 July 2025, medical practitioners will be able to request Medicare funded testing for total vitamin B12 and/or holotranscobalamin as a first line vitamin B12 test (66838). Where initial vitamin B12 result (66838) is inconclusive or abnormal, additional testing can be done to quantify homocysteine or methylmalonic acid in the same episode (66839).</w:t>
      </w:r>
    </w:p>
    <w:p w14:paraId="6F701D9A" w14:textId="77777777" w:rsidR="00882173" w:rsidRDefault="002C37D2" w:rsidP="007C343D">
      <w:pPr>
        <w:rPr>
          <w:szCs w:val="22"/>
        </w:rPr>
      </w:pPr>
      <w:r>
        <w:rPr>
          <w:szCs w:val="22"/>
        </w:rPr>
        <w:t xml:space="preserve">The </w:t>
      </w:r>
      <w:r w:rsidR="00B61951">
        <w:rPr>
          <w:szCs w:val="22"/>
        </w:rPr>
        <w:t xml:space="preserve">frequency </w:t>
      </w:r>
      <w:r w:rsidR="00B61951" w:rsidRPr="00785E55">
        <w:rPr>
          <w:szCs w:val="22"/>
        </w:rPr>
        <w:t>restriction</w:t>
      </w:r>
      <w:r>
        <w:rPr>
          <w:szCs w:val="22"/>
        </w:rPr>
        <w:t xml:space="preserve"> currently applying to 66838</w:t>
      </w:r>
      <w:r w:rsidR="00B61951" w:rsidRPr="00785E55">
        <w:rPr>
          <w:szCs w:val="22"/>
        </w:rPr>
        <w:t xml:space="preserve"> will be </w:t>
      </w:r>
      <w:r w:rsidR="00255BF7">
        <w:rPr>
          <w:szCs w:val="22"/>
        </w:rPr>
        <w:t xml:space="preserve">shortened from </w:t>
      </w:r>
      <w:r w:rsidR="00AB2F24">
        <w:rPr>
          <w:szCs w:val="22"/>
        </w:rPr>
        <w:t>yearly</w:t>
      </w:r>
      <w:r w:rsidR="00255BF7">
        <w:rPr>
          <w:szCs w:val="22"/>
        </w:rPr>
        <w:t xml:space="preserve"> to 11 months and </w:t>
      </w:r>
      <w:r w:rsidR="00B61951" w:rsidRPr="00785E55">
        <w:rPr>
          <w:szCs w:val="22"/>
        </w:rPr>
        <w:t>applied to vitamin B12 testing</w:t>
      </w:r>
      <w:r>
        <w:rPr>
          <w:szCs w:val="22"/>
        </w:rPr>
        <w:t xml:space="preserve"> item </w:t>
      </w:r>
      <w:r w:rsidR="00B61951" w:rsidRPr="00785E55">
        <w:rPr>
          <w:szCs w:val="22"/>
        </w:rPr>
        <w:t>66839</w:t>
      </w:r>
      <w:r w:rsidR="00562452" w:rsidRPr="00785E55">
        <w:rPr>
          <w:szCs w:val="22"/>
        </w:rPr>
        <w:t>. Practitioners will be able to request more frequent vitamin B12 testing for those patient groups with a clinical need</w:t>
      </w:r>
      <w:r w:rsidR="0051572E" w:rsidRPr="00785E55">
        <w:rPr>
          <w:szCs w:val="22"/>
        </w:rPr>
        <w:t xml:space="preserve"> under the new exception item</w:t>
      </w:r>
      <w:r>
        <w:rPr>
          <w:szCs w:val="22"/>
        </w:rPr>
        <w:t xml:space="preserve"> </w:t>
      </w:r>
      <w:r w:rsidR="0051572E" w:rsidRPr="00785E55">
        <w:rPr>
          <w:szCs w:val="22"/>
        </w:rPr>
        <w:t>66842.</w:t>
      </w:r>
      <w:r w:rsidR="00785E55">
        <w:rPr>
          <w:szCs w:val="22"/>
        </w:rPr>
        <w:t xml:space="preserve"> </w:t>
      </w:r>
    </w:p>
    <w:p w14:paraId="27110E86" w14:textId="16F13D15" w:rsidR="002C37D2" w:rsidRDefault="00882173" w:rsidP="007C343D">
      <w:pPr>
        <w:rPr>
          <w:bCs/>
          <w:szCs w:val="22"/>
        </w:rPr>
      </w:pPr>
      <w:r>
        <w:rPr>
          <w:szCs w:val="22"/>
        </w:rPr>
        <w:t>Under item 66842, c</w:t>
      </w:r>
      <w:r w:rsidR="002C37D2">
        <w:rPr>
          <w:szCs w:val="22"/>
        </w:rPr>
        <w:t xml:space="preserve">linicians </w:t>
      </w:r>
      <w:r w:rsidR="00255BF7">
        <w:rPr>
          <w:szCs w:val="22"/>
        </w:rPr>
        <w:t>can</w:t>
      </w:r>
      <w:r w:rsidR="002C37D2">
        <w:rPr>
          <w:szCs w:val="22"/>
        </w:rPr>
        <w:t xml:space="preserve"> stipulate the test </w:t>
      </w:r>
      <w:r w:rsidR="00255BF7">
        <w:rPr>
          <w:szCs w:val="22"/>
        </w:rPr>
        <w:t>required</w:t>
      </w:r>
      <w:r w:rsidR="002C37D2">
        <w:rPr>
          <w:szCs w:val="22"/>
        </w:rPr>
        <w:t xml:space="preserve"> including total vitamin B12</w:t>
      </w:r>
      <w:r>
        <w:rPr>
          <w:szCs w:val="22"/>
        </w:rPr>
        <w:t>,</w:t>
      </w:r>
      <w:r w:rsidR="002C37D2">
        <w:rPr>
          <w:szCs w:val="22"/>
        </w:rPr>
        <w:t xml:space="preserve"> active vitamin B12</w:t>
      </w:r>
      <w:r>
        <w:rPr>
          <w:szCs w:val="22"/>
        </w:rPr>
        <w:t xml:space="preserve"> and other vitamin B12 markers such as </w:t>
      </w:r>
      <w:r w:rsidRPr="00882173">
        <w:rPr>
          <w:szCs w:val="22"/>
        </w:rPr>
        <w:t>methylmalonic acid, or homocysteine</w:t>
      </w:r>
      <w:r w:rsidR="002C37D2">
        <w:rPr>
          <w:szCs w:val="22"/>
        </w:rPr>
        <w:t xml:space="preserve">. </w:t>
      </w:r>
      <w:r w:rsidR="002C37D2">
        <w:rPr>
          <w:bCs/>
          <w:szCs w:val="22"/>
        </w:rPr>
        <w:t>Clinical need</w:t>
      </w:r>
      <w:r w:rsidR="00785E55" w:rsidRPr="00785E55">
        <w:rPr>
          <w:bCs/>
          <w:szCs w:val="22"/>
        </w:rPr>
        <w:t xml:space="preserve"> includes patients requiring subsequent testing following inconclusive initial vitamin B12 test results, or those who have risk factors for abnormal vitamin B12 levels (such as low dietary intake, family history, previous abdominal or pelvic radiotherapy, previous gastrointestinal tract surgery, recreational nitrous oxide use, </w:t>
      </w:r>
      <w:r w:rsidR="009773B6">
        <w:rPr>
          <w:bCs/>
          <w:szCs w:val="22"/>
        </w:rPr>
        <w:t xml:space="preserve">or other </w:t>
      </w:r>
      <w:r w:rsidR="00785E55" w:rsidRPr="00785E55">
        <w:rPr>
          <w:bCs/>
          <w:szCs w:val="22"/>
        </w:rPr>
        <w:t>clinical conditions with a risk of B12 deficiency).</w:t>
      </w:r>
      <w:r w:rsidR="002C37D2">
        <w:rPr>
          <w:bCs/>
          <w:szCs w:val="22"/>
        </w:rPr>
        <w:t xml:space="preserve"> </w:t>
      </w:r>
    </w:p>
    <w:p w14:paraId="1B6630F4" w14:textId="6879405A" w:rsidR="00527D63" w:rsidRDefault="00527D63" w:rsidP="007C343D">
      <w:r w:rsidRPr="00527D63">
        <w:rPr>
          <w:bCs/>
          <w:szCs w:val="22"/>
        </w:rPr>
        <w:t xml:space="preserve">To ensure patient access to an MBS </w:t>
      </w:r>
      <w:r w:rsidR="003D79FE">
        <w:rPr>
          <w:bCs/>
          <w:szCs w:val="22"/>
        </w:rPr>
        <w:t>benefit</w:t>
      </w:r>
      <w:r w:rsidRPr="00527D63">
        <w:rPr>
          <w:bCs/>
          <w:szCs w:val="22"/>
        </w:rPr>
        <w:t>, pathology request</w:t>
      </w:r>
      <w:r>
        <w:rPr>
          <w:bCs/>
          <w:szCs w:val="22"/>
        </w:rPr>
        <w:t>s for</w:t>
      </w:r>
      <w:r w:rsidRPr="00527D63">
        <w:rPr>
          <w:bCs/>
          <w:szCs w:val="22"/>
        </w:rPr>
        <w:t xml:space="preserve"> vitamin B12 testing should </w:t>
      </w:r>
      <w:r w:rsidR="0051644F">
        <w:rPr>
          <w:bCs/>
          <w:szCs w:val="22"/>
        </w:rPr>
        <w:t xml:space="preserve">provide sufficient information for the provider to determine the appropriate test, such as </w:t>
      </w:r>
      <w:r w:rsidRPr="00527D63">
        <w:rPr>
          <w:bCs/>
          <w:szCs w:val="22"/>
        </w:rPr>
        <w:t xml:space="preserve">the </w:t>
      </w:r>
      <w:r w:rsidR="0051644F">
        <w:rPr>
          <w:bCs/>
          <w:szCs w:val="22"/>
        </w:rPr>
        <w:t xml:space="preserve">required </w:t>
      </w:r>
      <w:r>
        <w:rPr>
          <w:bCs/>
          <w:szCs w:val="22"/>
        </w:rPr>
        <w:t>test</w:t>
      </w:r>
      <w:r w:rsidRPr="00527D63">
        <w:rPr>
          <w:bCs/>
          <w:szCs w:val="22"/>
        </w:rPr>
        <w:t xml:space="preserve"> and </w:t>
      </w:r>
      <w:r w:rsidR="0051644F">
        <w:rPr>
          <w:bCs/>
          <w:szCs w:val="22"/>
        </w:rPr>
        <w:t xml:space="preserve">patient’s </w:t>
      </w:r>
      <w:r w:rsidRPr="00527D63">
        <w:rPr>
          <w:bCs/>
          <w:szCs w:val="22"/>
        </w:rPr>
        <w:t xml:space="preserve">clinical </w:t>
      </w:r>
      <w:r w:rsidR="0051644F">
        <w:rPr>
          <w:bCs/>
          <w:szCs w:val="22"/>
        </w:rPr>
        <w:t>indications</w:t>
      </w:r>
      <w:r w:rsidRPr="00527D63">
        <w:rPr>
          <w:bCs/>
          <w:szCs w:val="22"/>
        </w:rPr>
        <w:t>.</w:t>
      </w:r>
    </w:p>
    <w:p w14:paraId="43716F69" w14:textId="533A4F46" w:rsidR="009773B6" w:rsidRPr="009773B6" w:rsidRDefault="009773B6" w:rsidP="007C343D">
      <w:r>
        <w:t xml:space="preserve">Alongside these items, a pathology note will be published on </w:t>
      </w:r>
      <w:hyperlink r:id="rId13" w:history="1">
        <w:r w:rsidRPr="002452BA">
          <w:rPr>
            <w:rStyle w:val="Hyperlink"/>
          </w:rPr>
          <w:t>MBS Online</w:t>
        </w:r>
      </w:hyperlink>
      <w:r>
        <w:t xml:space="preserve"> to assist requestin</w:t>
      </w:r>
      <w:r w:rsidR="00D202E9">
        <w:t>g</w:t>
      </w:r>
      <w:r>
        <w:t xml:space="preserve"> practitioners </w:t>
      </w:r>
      <w:r w:rsidR="00027751">
        <w:t>determi</w:t>
      </w:r>
      <w:r w:rsidR="00255BF7">
        <w:t>ne</w:t>
      </w:r>
      <w:r>
        <w:t xml:space="preserve"> when it is appropriate to request this service for their patient.</w:t>
      </w:r>
    </w:p>
    <w:p w14:paraId="4C17DC5F" w14:textId="472A7904" w:rsidR="003A7C67" w:rsidRDefault="0000589D" w:rsidP="007C343D">
      <w:pPr>
        <w:rPr>
          <w:szCs w:val="22"/>
        </w:rPr>
      </w:pPr>
      <w:r w:rsidRPr="00F810A4">
        <w:rPr>
          <w:szCs w:val="22"/>
        </w:rPr>
        <w:t>To be eligible for Medicare benefits, laboratories providing this service must be accredited according to the pathology accreditation standards specified in the</w:t>
      </w:r>
      <w:r w:rsidRPr="00F810A4">
        <w:rPr>
          <w:i/>
          <w:iCs/>
          <w:szCs w:val="22"/>
        </w:rPr>
        <w:t xml:space="preserve"> </w:t>
      </w:r>
      <w:hyperlink r:id="rId14" w:history="1">
        <w:r w:rsidRPr="00F810A4">
          <w:rPr>
            <w:rStyle w:val="Hyperlink"/>
            <w:i/>
            <w:iCs/>
            <w:szCs w:val="22"/>
          </w:rPr>
          <w:t>Health Insurance (Accredited Pathology Laboratories-Approval) Principles 2017</w:t>
        </w:r>
      </w:hyperlink>
      <w:r w:rsidRPr="00F810A4">
        <w:rPr>
          <w:szCs w:val="22"/>
        </w:rPr>
        <w:t>.</w:t>
      </w:r>
    </w:p>
    <w:p w14:paraId="7F7DA4F7" w14:textId="77777777" w:rsidR="00064168" w:rsidRDefault="00064168" w:rsidP="00064168">
      <w:pPr>
        <w:pStyle w:val="Heading2"/>
      </w:pPr>
      <w:r>
        <w:t>How will these changes affect patients</w:t>
      </w:r>
      <w:r w:rsidRPr="001A7FB7">
        <w:t>?</w:t>
      </w:r>
    </w:p>
    <w:p w14:paraId="19A9782A" w14:textId="187AC59F" w:rsidR="00527D63" w:rsidRPr="00527D63" w:rsidRDefault="00ED476B" w:rsidP="00527D63">
      <w:pPr>
        <w:rPr>
          <w:rFonts w:cs="Arial"/>
          <w:szCs w:val="22"/>
        </w:rPr>
      </w:pPr>
      <w:r>
        <w:rPr>
          <w:szCs w:val="22"/>
        </w:rPr>
        <w:t>F</w:t>
      </w:r>
      <w:r w:rsidR="00527D63" w:rsidRPr="00527D63">
        <w:rPr>
          <w:rFonts w:cs="Arial"/>
          <w:szCs w:val="22"/>
        </w:rPr>
        <w:t>rom 1 July 2025, testing of active vitamin B12 as a first line test will now be available under the MBS, without first testing total vitamin B12</w:t>
      </w:r>
      <w:r w:rsidR="004B0D4F">
        <w:rPr>
          <w:rFonts w:cs="Arial"/>
          <w:szCs w:val="22"/>
        </w:rPr>
        <w:t>. First-line active vitamin B12 testing is recommended in Australian guidelines for pregnant patients suspected of vitamin B12 deficiency. The MBS did not previously support this.</w:t>
      </w:r>
    </w:p>
    <w:p w14:paraId="157398AF" w14:textId="77777777" w:rsidR="00527D63" w:rsidRPr="00527D63" w:rsidRDefault="00527D63" w:rsidP="00527D63">
      <w:pPr>
        <w:rPr>
          <w:rFonts w:cs="Arial"/>
          <w:szCs w:val="22"/>
        </w:rPr>
      </w:pPr>
      <w:proofErr w:type="gramStart"/>
      <w:r w:rsidRPr="00527D63">
        <w:rPr>
          <w:rFonts w:cs="Arial"/>
          <w:szCs w:val="22"/>
        </w:rPr>
        <w:t>Additionally</w:t>
      </w:r>
      <w:proofErr w:type="gramEnd"/>
      <w:r w:rsidRPr="00527D63">
        <w:rPr>
          <w:rFonts w:cs="Arial"/>
          <w:szCs w:val="22"/>
        </w:rPr>
        <w:t xml:space="preserve"> a new exception item has been created for testing of vitamin B12, without a frequency limit.</w:t>
      </w:r>
    </w:p>
    <w:p w14:paraId="0EB5389C" w14:textId="77777777" w:rsidR="00527D63" w:rsidRPr="00527D63" w:rsidRDefault="00527D63" w:rsidP="00527D63">
      <w:pPr>
        <w:rPr>
          <w:rFonts w:cs="Arial"/>
          <w:szCs w:val="22"/>
        </w:rPr>
      </w:pPr>
      <w:r w:rsidRPr="00527D63">
        <w:rPr>
          <w:rFonts w:cs="Arial"/>
          <w:szCs w:val="22"/>
        </w:rPr>
        <w:t>The changes aim to improve health outcomes and reduce clinically unnecessary testing by clarifying the appropriate testing pathways for vitamin B12 and increasing access to clinically relevant services.</w:t>
      </w:r>
    </w:p>
    <w:p w14:paraId="1DD6F91B" w14:textId="4F62D99F" w:rsidR="00064168" w:rsidRPr="006F5073" w:rsidRDefault="00064168" w:rsidP="006F5073">
      <w:r>
        <w:lastRenderedPageBreak/>
        <w:t>Patients</w:t>
      </w:r>
      <w:r w:rsidR="00527D63">
        <w:t>,</w:t>
      </w:r>
      <w:r>
        <w:t xml:space="preserve"> </w:t>
      </w:r>
      <w:r w:rsidR="002C37D2">
        <w:t>including pregnant women and those with risk factors for vitamin B deficiency</w:t>
      </w:r>
      <w:r w:rsidR="00527D63">
        <w:t>,</w:t>
      </w:r>
      <w:r w:rsidR="002C37D2">
        <w:t xml:space="preserve"> will benefit from being able to access the right test for their needs as well as increased access to testing. Patients who have been accessing vitamin B12 testing </w:t>
      </w:r>
      <w:r w:rsidR="009773B6">
        <w:t xml:space="preserve">will </w:t>
      </w:r>
      <w:r>
        <w:t xml:space="preserve">not be </w:t>
      </w:r>
      <w:r w:rsidR="009773B6">
        <w:t xml:space="preserve">negatively </w:t>
      </w:r>
      <w:r>
        <w:t xml:space="preserve">affected </w:t>
      </w:r>
      <w:r w:rsidR="00274C93">
        <w:t>by the</w:t>
      </w:r>
      <w:r w:rsidR="6E91DAC6">
        <w:t>se</w:t>
      </w:r>
      <w:r w:rsidR="00915FD0">
        <w:t xml:space="preserve"> changes </w:t>
      </w:r>
      <w:r>
        <w:t>and will have continued access to clinically relevant services.</w:t>
      </w:r>
    </w:p>
    <w:p w14:paraId="5BD9BE80" w14:textId="77777777" w:rsidR="00064168" w:rsidRDefault="00064168" w:rsidP="00064168">
      <w:pPr>
        <w:pStyle w:val="Heading2"/>
      </w:pPr>
      <w:r w:rsidRPr="001A7FB7">
        <w:t>Who was consulted on the changes?</w:t>
      </w:r>
    </w:p>
    <w:p w14:paraId="7ADE080F" w14:textId="35531E57" w:rsidR="00064168" w:rsidRDefault="00064168" w:rsidP="37A8CB26">
      <w:r>
        <w:t xml:space="preserve">Following the MBS Review (during implementation), ongoing consultation occurred with the </w:t>
      </w:r>
      <w:r w:rsidR="006941CD">
        <w:t xml:space="preserve">following stakeholders: </w:t>
      </w:r>
    </w:p>
    <w:p w14:paraId="3AC07A82" w14:textId="77777777" w:rsidR="00440617" w:rsidRDefault="00440617" w:rsidP="00440617">
      <w:pPr>
        <w:pStyle w:val="ListParagraph"/>
        <w:numPr>
          <w:ilvl w:val="0"/>
          <w:numId w:val="27"/>
        </w:numPr>
      </w:pPr>
      <w:r>
        <w:t>Australian and New Zealand Society for Geriatric Medicine</w:t>
      </w:r>
    </w:p>
    <w:p w14:paraId="0528A92B" w14:textId="77777777" w:rsidR="00440617" w:rsidRDefault="00440617" w:rsidP="00440617">
      <w:pPr>
        <w:pStyle w:val="ListParagraph"/>
        <w:numPr>
          <w:ilvl w:val="0"/>
          <w:numId w:val="27"/>
        </w:numPr>
      </w:pPr>
      <w:r>
        <w:t>Australian and New Zealand Society of Nephrologists</w:t>
      </w:r>
    </w:p>
    <w:p w14:paraId="03EE853B" w14:textId="77777777" w:rsidR="00440617" w:rsidRDefault="00440617" w:rsidP="00440617">
      <w:pPr>
        <w:pStyle w:val="ListParagraph"/>
        <w:numPr>
          <w:ilvl w:val="0"/>
          <w:numId w:val="27"/>
        </w:numPr>
      </w:pPr>
      <w:r>
        <w:t>Australian Medical Association</w:t>
      </w:r>
    </w:p>
    <w:p w14:paraId="7079DB28" w14:textId="77777777" w:rsidR="00440617" w:rsidRDefault="00440617" w:rsidP="00440617">
      <w:pPr>
        <w:pStyle w:val="ListParagraph"/>
        <w:numPr>
          <w:ilvl w:val="0"/>
          <w:numId w:val="27"/>
        </w:numPr>
      </w:pPr>
      <w:r>
        <w:t>Australian Pathology</w:t>
      </w:r>
    </w:p>
    <w:p w14:paraId="0DD98C9D" w14:textId="77777777" w:rsidR="00440617" w:rsidRDefault="00440617" w:rsidP="00440617">
      <w:pPr>
        <w:pStyle w:val="ListParagraph"/>
        <w:numPr>
          <w:ilvl w:val="0"/>
          <w:numId w:val="27"/>
        </w:numPr>
      </w:pPr>
      <w:r>
        <w:t>Public Pathology Australia</w:t>
      </w:r>
    </w:p>
    <w:p w14:paraId="6DF418E8" w14:textId="77777777" w:rsidR="00440617" w:rsidRDefault="00440617" w:rsidP="00440617">
      <w:pPr>
        <w:pStyle w:val="ListParagraph"/>
        <w:numPr>
          <w:ilvl w:val="0"/>
          <w:numId w:val="27"/>
        </w:numPr>
      </w:pPr>
      <w:r>
        <w:t>Royal Australian College of General Practitioners</w:t>
      </w:r>
    </w:p>
    <w:p w14:paraId="486C6D20" w14:textId="77777777" w:rsidR="00440617" w:rsidRDefault="00440617" w:rsidP="00440617">
      <w:pPr>
        <w:pStyle w:val="ListParagraph"/>
        <w:numPr>
          <w:ilvl w:val="0"/>
          <w:numId w:val="27"/>
        </w:numPr>
      </w:pPr>
      <w:r>
        <w:t>Royal Australian College of Physicians</w:t>
      </w:r>
    </w:p>
    <w:p w14:paraId="02A32D62" w14:textId="77777777" w:rsidR="00440617" w:rsidRDefault="00440617" w:rsidP="00440617">
      <w:pPr>
        <w:pStyle w:val="ListParagraph"/>
        <w:numPr>
          <w:ilvl w:val="0"/>
          <w:numId w:val="27"/>
        </w:numPr>
      </w:pPr>
      <w:r>
        <w:t>Royal College of Pathologists of Australasia</w:t>
      </w:r>
    </w:p>
    <w:p w14:paraId="32E82B19" w14:textId="77777777" w:rsidR="00064168" w:rsidRDefault="00064168" w:rsidP="00064168">
      <w:pPr>
        <w:pStyle w:val="Heading2"/>
      </w:pPr>
      <w:r w:rsidRPr="001A7FB7">
        <w:t>How will the changes be monitored</w:t>
      </w:r>
      <w:r>
        <w:t xml:space="preserve"> and reviewed</w:t>
      </w:r>
      <w:r w:rsidRPr="001A7FB7">
        <w:t>?</w:t>
      </w:r>
    </w:p>
    <w:p w14:paraId="0AA666A2" w14:textId="3A6245B8" w:rsidR="006F6063" w:rsidRPr="00B27A99" w:rsidRDefault="008F2128" w:rsidP="00B27A99">
      <w:pPr>
        <w:rPr>
          <w:szCs w:val="22"/>
        </w:rPr>
      </w:pPr>
      <w:r w:rsidRPr="00244AEA">
        <w:rPr>
          <w:szCs w:val="22"/>
        </w:rPr>
        <w:t xml:space="preserve">Providers must ensure that Medicare services requested or claimed using their provider number meet all legislative requirements. These services should also be considered acceptable by a general body of their profession. All Medicare claiming and requesting is subject to compliance checks. Providers or requesters may be required to submit evidence about the services they bill or request and should retain adequate and contemporaneous records. More information about the </w:t>
      </w:r>
      <w:r w:rsidR="006B2FB0">
        <w:rPr>
          <w:szCs w:val="22"/>
        </w:rPr>
        <w:t>d</w:t>
      </w:r>
      <w:r w:rsidRPr="00244AEA">
        <w:rPr>
          <w:szCs w:val="22"/>
        </w:rPr>
        <w:t>epartment</w:t>
      </w:r>
      <w:r w:rsidR="006B2FB0">
        <w:rPr>
          <w:szCs w:val="22"/>
        </w:rPr>
        <w:t xml:space="preserve">’s </w:t>
      </w:r>
      <w:r w:rsidRPr="00244AEA">
        <w:rPr>
          <w:szCs w:val="22"/>
        </w:rPr>
        <w:t xml:space="preserve">compliance program can be found on its website at </w:t>
      </w:r>
      <w:hyperlink r:id="rId15" w:tgtFrame="_blank" w:tooltip="https://www.health.gov.au/topics/medicare/compliance" w:history="1">
        <w:r w:rsidRPr="00244AEA">
          <w:rPr>
            <w:rStyle w:val="Hyperlink"/>
            <w:szCs w:val="22"/>
          </w:rPr>
          <w:t>Medicare compliance</w:t>
        </w:r>
      </w:hyperlink>
      <w:r w:rsidRPr="00244AEA">
        <w:rPr>
          <w:szCs w:val="22"/>
          <w:u w:val="single"/>
        </w:rPr>
        <w:t>.</w:t>
      </w:r>
    </w:p>
    <w:p w14:paraId="3C63E237" w14:textId="77777777" w:rsidR="00064168" w:rsidRDefault="00064168" w:rsidP="00064168">
      <w:pPr>
        <w:pStyle w:val="Heading2"/>
      </w:pPr>
      <w:r>
        <w:t>Where can I find more information?</w:t>
      </w:r>
    </w:p>
    <w:p w14:paraId="5A190698" w14:textId="77777777" w:rsidR="007C35BC" w:rsidRPr="00867595" w:rsidRDefault="007C35BC" w:rsidP="007C35BC">
      <w:pPr>
        <w:rPr>
          <w:szCs w:val="22"/>
        </w:rPr>
      </w:pPr>
      <w:r w:rsidRPr="00867595">
        <w:rPr>
          <w:szCs w:val="22"/>
        </w:rPr>
        <w:t xml:space="preserve">The full item descriptor(s) and information on other changes to the MBS can be found on the </w:t>
      </w:r>
      <w:hyperlink r:id="rId16"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Pr>
          <w:szCs w:val="22"/>
        </w:rPr>
        <w:t>‘</w:t>
      </w:r>
      <w:hyperlink r:id="rId17" w:history="1">
        <w:r>
          <w:rPr>
            <w:rStyle w:val="Hyperlink"/>
            <w:szCs w:val="22"/>
          </w:rPr>
          <w:t>Subscribe to the MBS</w:t>
        </w:r>
      </w:hyperlink>
      <w:r>
        <w:rPr>
          <w:szCs w:val="22"/>
        </w:rPr>
        <w:t>’ on the MBS Online website</w:t>
      </w:r>
      <w:r w:rsidRPr="00867595">
        <w:rPr>
          <w:szCs w:val="22"/>
        </w:rPr>
        <w:t xml:space="preserve">. </w:t>
      </w:r>
    </w:p>
    <w:p w14:paraId="0D1ED475" w14:textId="77777777" w:rsidR="007C35BC" w:rsidRPr="000B7029" w:rsidRDefault="007C35BC" w:rsidP="007C35BC">
      <w:pPr>
        <w:rPr>
          <w:szCs w:val="22"/>
        </w:rPr>
      </w:pPr>
      <w:r w:rsidRPr="001873B1">
        <w:rPr>
          <w:szCs w:val="22"/>
        </w:rPr>
        <w:t xml:space="preserve">Providers seeking advice on interpretation of MBS items, explanatory notes and associated legislation can use the department’s email advice service by emailing </w:t>
      </w:r>
      <w:hyperlink r:id="rId18" w:history="1">
        <w:r w:rsidRPr="001873B1">
          <w:rPr>
            <w:rStyle w:val="Hyperlink"/>
            <w:szCs w:val="22"/>
          </w:rPr>
          <w:t>askMBS@health.gov.au</w:t>
        </w:r>
      </w:hyperlink>
      <w:r w:rsidRPr="001873B1">
        <w:rPr>
          <w:szCs w:val="22"/>
        </w:rPr>
        <w:t>.</w:t>
      </w:r>
    </w:p>
    <w:p w14:paraId="72C93ACF" w14:textId="77777777" w:rsidR="007C35BC" w:rsidRDefault="007C35BC" w:rsidP="007C35BC">
      <w:pPr>
        <w:rPr>
          <w:color w:val="auto"/>
          <w:sz w:val="20"/>
          <w:szCs w:val="21"/>
        </w:rPr>
      </w:pPr>
      <w:r>
        <w:t xml:space="preserve">Private health insurance information on the product tier arrangements is available at </w:t>
      </w:r>
      <w:hyperlink r:id="rId19" w:history="1">
        <w:r>
          <w:rPr>
            <w:rStyle w:val="Hyperlink"/>
          </w:rPr>
          <w:t>www.privatehealth.gov.au</w:t>
        </w:r>
      </w:hyperlink>
      <w:r>
        <w:t xml:space="preserve">. Detailed information on the MBS item listing within clinical categories is available on the </w:t>
      </w:r>
      <w:hyperlink r:id="rId20"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Pr>
          <w:i/>
        </w:rPr>
        <w:t> </w:t>
      </w:r>
      <w:r w:rsidRPr="00B45350">
        <w:rPr>
          <w:i/>
        </w:rPr>
        <w:t>2011</w:t>
      </w:r>
      <w:r>
        <w:rPr>
          <w:i/>
        </w:rPr>
        <w:t xml:space="preserve"> </w:t>
      </w:r>
      <w:r>
        <w:rPr>
          <w:iCs/>
        </w:rPr>
        <w:t xml:space="preserve">found on the </w:t>
      </w:r>
      <w:hyperlink r:id="rId21" w:history="1">
        <w:r w:rsidRPr="005E2D76">
          <w:rPr>
            <w:rStyle w:val="Hyperlink"/>
            <w:iCs/>
          </w:rPr>
          <w:t>Federal Register of Legislation</w:t>
        </w:r>
      </w:hyperlink>
      <w:r>
        <w:t xml:space="preserve">. If you have a query in relation to private health insurance, you should email </w:t>
      </w:r>
      <w:hyperlink r:id="rId22" w:history="1">
        <w:r>
          <w:rPr>
            <w:rStyle w:val="Hyperlink"/>
          </w:rPr>
          <w:t>PHI@health.gov.au</w:t>
        </w:r>
      </w:hyperlink>
      <w:r>
        <w:t>.</w:t>
      </w:r>
    </w:p>
    <w:p w14:paraId="2CE1FAC8" w14:textId="77777777" w:rsidR="007C35BC" w:rsidRPr="00867595" w:rsidRDefault="007C35BC" w:rsidP="007C35BC">
      <w:pPr>
        <w:rPr>
          <w:szCs w:val="22"/>
        </w:rPr>
      </w:pPr>
      <w:r w:rsidRPr="00867595">
        <w:rPr>
          <w:szCs w:val="22"/>
        </w:rPr>
        <w:lastRenderedPageBreak/>
        <w:t>Subscribe to ‘</w:t>
      </w:r>
      <w:hyperlink r:id="rId23" w:history="1">
        <w:r w:rsidRPr="00867595">
          <w:rPr>
            <w:rStyle w:val="Hyperlink"/>
            <w:szCs w:val="22"/>
          </w:rPr>
          <w:t>News for Health Professionals</w:t>
        </w:r>
      </w:hyperlink>
      <w:r w:rsidRPr="00867595">
        <w:rPr>
          <w:szCs w:val="22"/>
        </w:rPr>
        <w:t xml:space="preserve">’ on the Services Australia website </w:t>
      </w:r>
      <w:r>
        <w:rPr>
          <w:szCs w:val="22"/>
        </w:rPr>
        <w:t>to</w:t>
      </w:r>
      <w:r w:rsidRPr="00867595">
        <w:rPr>
          <w:szCs w:val="22"/>
        </w:rPr>
        <w:t xml:space="preserve"> receive regular news highlights.</w:t>
      </w:r>
    </w:p>
    <w:p w14:paraId="745E8D90" w14:textId="77777777" w:rsidR="007C35BC" w:rsidRDefault="007C35BC" w:rsidP="007C35BC">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Services Australia on the Provider Enquiry Line – 13 21 50. </w:t>
      </w:r>
    </w:p>
    <w:p w14:paraId="6A69D561" w14:textId="77777777" w:rsidR="007C35BC" w:rsidRPr="00867595" w:rsidRDefault="007C35BC" w:rsidP="007C35BC">
      <w:pPr>
        <w:rPr>
          <w:szCs w:val="22"/>
        </w:rPr>
      </w:pPr>
      <w:r w:rsidRPr="00867595">
        <w:rPr>
          <w:szCs w:val="22"/>
        </w:rPr>
        <w:t xml:space="preserve">The data file for software vendors when available can be accessed via the </w:t>
      </w:r>
      <w:hyperlink r:id="rId24" w:history="1">
        <w:r w:rsidRPr="00C02732">
          <w:rPr>
            <w:rStyle w:val="Hyperlink"/>
            <w:szCs w:val="22"/>
          </w:rPr>
          <w:t>Downloads</w:t>
        </w:r>
      </w:hyperlink>
      <w:r w:rsidRPr="00867595">
        <w:rPr>
          <w:szCs w:val="22"/>
        </w:rPr>
        <w:t xml:space="preserve"> page.</w:t>
      </w:r>
    </w:p>
    <w:p w14:paraId="4A33C308" w14:textId="77777777" w:rsidR="00860E70" w:rsidRDefault="00860E70">
      <w:pPr>
        <w:spacing w:before="0" w:after="0" w:line="240" w:lineRule="auto"/>
        <w:rPr>
          <w:rFonts w:cs="Arial"/>
          <w:b/>
          <w:bCs/>
          <w:iCs/>
          <w:color w:val="358189"/>
          <w:sz w:val="36"/>
          <w:szCs w:val="28"/>
        </w:rPr>
      </w:pPr>
      <w:r>
        <w:br w:type="page"/>
      </w:r>
    </w:p>
    <w:p w14:paraId="6860019D" w14:textId="1B453CA2" w:rsidR="006F6063" w:rsidRPr="006F6063" w:rsidRDefault="00BE3ED5" w:rsidP="006F6063">
      <w:pPr>
        <w:pStyle w:val="Heading2"/>
      </w:pPr>
      <w:r>
        <w:lastRenderedPageBreak/>
        <w:t>Amended item descriptors (to take effect</w:t>
      </w:r>
      <w:r w:rsidR="009E4385">
        <w:t xml:space="preserve"> 1 July 2025</w:t>
      </w:r>
      <w:r>
        <w:t>)</w:t>
      </w:r>
    </w:p>
    <w:tbl>
      <w:tblPr>
        <w:tblStyle w:val="GridTable4-Accent2"/>
        <w:tblW w:w="0" w:type="auto"/>
        <w:tblLook w:val="04A0" w:firstRow="1" w:lastRow="0" w:firstColumn="1" w:lastColumn="0" w:noHBand="0" w:noVBand="1"/>
      </w:tblPr>
      <w:tblGrid>
        <w:gridCol w:w="9060"/>
      </w:tblGrid>
      <w:tr w:rsidR="006F6063" w14:paraId="02CE712E" w14:textId="77777777" w:rsidTr="00BC1F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27D3C8E3" w14:textId="77777777" w:rsidR="006F6063" w:rsidRDefault="006F6063" w:rsidP="009D6535">
            <w:pPr>
              <w:rPr>
                <w:b w:val="0"/>
                <w:bCs w:val="0"/>
                <w:lang w:eastAsia="en-AU"/>
              </w:rPr>
            </w:pPr>
            <w:bookmarkStart w:id="4" w:name="_Hlk190249621"/>
            <w:r>
              <w:rPr>
                <w:lang w:eastAsia="en-AU"/>
              </w:rPr>
              <w:t>Category 6 – Pathology Services</w:t>
            </w:r>
          </w:p>
        </w:tc>
      </w:tr>
      <w:tr w:rsidR="006F6063" w14:paraId="43C4F0F4" w14:textId="77777777" w:rsidTr="009D6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4D8947A" w14:textId="20411D56" w:rsidR="006F6063" w:rsidRPr="00BC1F1E" w:rsidRDefault="008F2128" w:rsidP="00BC1F1E">
            <w:pPr>
              <w:rPr>
                <w:b w:val="0"/>
                <w:bCs w:val="0"/>
                <w:lang w:eastAsia="en-AU"/>
              </w:rPr>
            </w:pPr>
            <w:r>
              <w:rPr>
                <w:lang w:eastAsia="en-AU"/>
              </w:rPr>
              <w:t>Group P2 – Chemical</w:t>
            </w:r>
          </w:p>
        </w:tc>
      </w:tr>
      <w:tr w:rsidR="006F6063" w14:paraId="79FE909D" w14:textId="77777777" w:rsidTr="009D6535">
        <w:tc>
          <w:tcPr>
            <w:cnfStyle w:val="001000000000" w:firstRow="0" w:lastRow="0" w:firstColumn="1" w:lastColumn="0" w:oddVBand="0" w:evenVBand="0" w:oddHBand="0" w:evenHBand="0" w:firstRowFirstColumn="0" w:firstRowLastColumn="0" w:lastRowFirstColumn="0" w:lastRowLastColumn="0"/>
            <w:tcW w:w="9060" w:type="dxa"/>
            <w:shd w:val="clear" w:color="auto" w:fill="D0EAED" w:themeFill="accent2" w:themeFillTint="33"/>
            <w:hideMark/>
          </w:tcPr>
          <w:p w14:paraId="3431CB71" w14:textId="5055F126" w:rsidR="008F2128" w:rsidRPr="00642F20" w:rsidRDefault="008F2128" w:rsidP="00BC1F1E">
            <w:pPr>
              <w:rPr>
                <w:b w:val="0"/>
                <w:bCs w:val="0"/>
              </w:rPr>
            </w:pPr>
            <w:r w:rsidRPr="00642F20">
              <w:rPr>
                <w:b w:val="0"/>
                <w:bCs w:val="0"/>
              </w:rPr>
              <w:t>Private Health Insurance Classification:</w:t>
            </w:r>
          </w:p>
          <w:p w14:paraId="75568BEF" w14:textId="77777777" w:rsidR="008F2128" w:rsidRPr="00642F20" w:rsidRDefault="008F2128" w:rsidP="008F2128">
            <w:pPr>
              <w:pStyle w:val="ListBullet"/>
              <w:rPr>
                <w:b w:val="0"/>
                <w:bCs w:val="0"/>
              </w:rPr>
            </w:pPr>
            <w:r w:rsidRPr="00642F20">
              <w:rPr>
                <w:b w:val="0"/>
                <w:bCs w:val="0"/>
              </w:rPr>
              <w:t xml:space="preserve">Clinical category: </w:t>
            </w:r>
            <w:r w:rsidRPr="00FA63E2">
              <w:rPr>
                <w:b w:val="0"/>
                <w:bCs w:val="0"/>
              </w:rPr>
              <w:t>Support list (pathology)</w:t>
            </w:r>
          </w:p>
          <w:p w14:paraId="755C88F2" w14:textId="14434085" w:rsidR="008F2128" w:rsidRPr="009574A0" w:rsidRDefault="008F2128" w:rsidP="008F2128">
            <w:pPr>
              <w:rPr>
                <w:b w:val="0"/>
                <w:bCs w:val="0"/>
              </w:rPr>
            </w:pPr>
            <w:r w:rsidRPr="00642F20">
              <w:rPr>
                <w:b w:val="0"/>
                <w:bCs w:val="0"/>
              </w:rPr>
              <w:t xml:space="preserve">Procedure type: Type </w:t>
            </w:r>
            <w:r>
              <w:rPr>
                <w:b w:val="0"/>
                <w:bCs w:val="0"/>
              </w:rPr>
              <w:t>C</w:t>
            </w:r>
          </w:p>
        </w:tc>
      </w:tr>
      <w:bookmarkEnd w:id="4"/>
      <w:tr w:rsidR="006F6063" w14:paraId="7CDEF57E" w14:textId="77777777" w:rsidTr="00860E70">
        <w:trPr>
          <w:cnfStyle w:val="000000100000" w:firstRow="0" w:lastRow="0" w:firstColumn="0" w:lastColumn="0" w:oddVBand="0" w:evenVBand="0" w:oddHBand="1" w:evenHBand="0" w:firstRowFirstColumn="0" w:firstRowLastColumn="0" w:lastRowFirstColumn="0" w:lastRowLastColumn="0"/>
          <w:trHeight w:val="2621"/>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35FEDC09" w14:textId="77777777" w:rsidR="006F6063" w:rsidRPr="004B0D4F" w:rsidRDefault="006F6063" w:rsidP="009D6535">
            <w:r w:rsidRPr="004B0D4F">
              <w:t>66838</w:t>
            </w:r>
          </w:p>
          <w:p w14:paraId="0D4C08A2" w14:textId="61574D72" w:rsidR="006F6063" w:rsidRPr="00860E70" w:rsidRDefault="006F6063" w:rsidP="009D6535">
            <w:pPr>
              <w:rPr>
                <w:rFonts w:cs="Arial"/>
                <w:b w:val="0"/>
                <w:bCs w:val="0"/>
                <w:color w:val="auto"/>
                <w:szCs w:val="22"/>
              </w:rPr>
            </w:pPr>
            <w:r w:rsidRPr="00860E70">
              <w:rPr>
                <w:rFonts w:cs="Arial"/>
                <w:b w:val="0"/>
                <w:bCs w:val="0"/>
                <w:color w:val="auto"/>
                <w:szCs w:val="22"/>
              </w:rPr>
              <w:t xml:space="preserve">Quantification of </w:t>
            </w:r>
            <w:r w:rsidR="00C309AE" w:rsidRPr="00860E70">
              <w:rPr>
                <w:rFonts w:cs="Arial"/>
                <w:b w:val="0"/>
                <w:bCs w:val="0"/>
                <w:color w:val="auto"/>
                <w:szCs w:val="22"/>
              </w:rPr>
              <w:t xml:space="preserve">either or both of </w:t>
            </w:r>
            <w:r w:rsidRPr="00860E70">
              <w:rPr>
                <w:rFonts w:cs="Arial"/>
                <w:b w:val="0"/>
                <w:bCs w:val="0"/>
                <w:color w:val="auto"/>
                <w:szCs w:val="22"/>
              </w:rPr>
              <w:t>total vitamin B12</w:t>
            </w:r>
            <w:r w:rsidR="00C3268F" w:rsidRPr="00860E70">
              <w:rPr>
                <w:rFonts w:cs="Arial"/>
                <w:b w:val="0"/>
                <w:bCs w:val="0"/>
                <w:color w:val="auto"/>
                <w:szCs w:val="22"/>
              </w:rPr>
              <w:t xml:space="preserve"> and</w:t>
            </w:r>
            <w:r w:rsidRPr="00860E70">
              <w:rPr>
                <w:rFonts w:cs="Arial"/>
                <w:b w:val="0"/>
                <w:bCs w:val="0"/>
                <w:color w:val="auto"/>
                <w:szCs w:val="22"/>
              </w:rPr>
              <w:t xml:space="preserve"> holotranscobalamin</w:t>
            </w:r>
          </w:p>
          <w:p w14:paraId="00F08EAA" w14:textId="453FA254" w:rsidR="006F6063" w:rsidRDefault="003D2BA5" w:rsidP="009D6535">
            <w:pPr>
              <w:rPr>
                <w:rFonts w:cs="Arial"/>
                <w:color w:val="auto"/>
                <w:szCs w:val="22"/>
              </w:rPr>
            </w:pPr>
            <w:r>
              <w:rPr>
                <w:rFonts w:cs="Arial"/>
                <w:b w:val="0"/>
                <w:bCs w:val="0"/>
                <w:color w:val="auto"/>
                <w:szCs w:val="22"/>
              </w:rPr>
              <w:t>Applicable not</w:t>
            </w:r>
            <w:r w:rsidR="006F6063" w:rsidRPr="00860E70">
              <w:rPr>
                <w:rFonts w:cs="Arial"/>
                <w:b w:val="0"/>
                <w:bCs w:val="0"/>
                <w:color w:val="auto"/>
                <w:szCs w:val="22"/>
              </w:rPr>
              <w:t xml:space="preserve"> more than once per 11 months</w:t>
            </w:r>
          </w:p>
          <w:p w14:paraId="44639DCA" w14:textId="77777777" w:rsidR="00860E70" w:rsidRPr="00860E70" w:rsidRDefault="00860E70" w:rsidP="009D6535">
            <w:pPr>
              <w:rPr>
                <w:rFonts w:cs="Arial"/>
                <w:b w:val="0"/>
                <w:bCs w:val="0"/>
                <w:color w:val="auto"/>
                <w:szCs w:val="22"/>
              </w:rPr>
            </w:pPr>
          </w:p>
          <w:p w14:paraId="279DBA52" w14:textId="77777777" w:rsidR="006F6063" w:rsidRPr="009574A0" w:rsidRDefault="006F6063" w:rsidP="009D6535">
            <w:pPr>
              <w:rPr>
                <w:b w:val="0"/>
                <w:bCs w:val="0"/>
              </w:rPr>
            </w:pPr>
            <w:r>
              <w:rPr>
                <w:b w:val="0"/>
                <w:bCs w:val="0"/>
              </w:rPr>
              <w:t>MBS f</w:t>
            </w:r>
            <w:r w:rsidRPr="009574A0">
              <w:rPr>
                <w:b w:val="0"/>
                <w:bCs w:val="0"/>
              </w:rPr>
              <w:t>ee: $23.60</w:t>
            </w:r>
          </w:p>
          <w:p w14:paraId="690195DC" w14:textId="77777777" w:rsidR="006F6063" w:rsidRDefault="006F6063" w:rsidP="009D6535">
            <w:pPr>
              <w:rPr>
                <w:b w:val="0"/>
                <w:bCs w:val="0"/>
              </w:rPr>
            </w:pPr>
            <w:r w:rsidRPr="009574A0">
              <w:rPr>
                <w:b w:val="0"/>
                <w:bCs w:val="0"/>
              </w:rPr>
              <w:t>Benefit: 75% = $17.70 85% = $20.10</w:t>
            </w:r>
          </w:p>
        </w:tc>
      </w:tr>
      <w:tr w:rsidR="006F6063" w14:paraId="04D805F0" w14:textId="77777777" w:rsidTr="009D6535">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107CDFC2" w14:textId="77777777" w:rsidR="006F6063" w:rsidRDefault="006F6063" w:rsidP="009D6535">
            <w:pPr>
              <w:rPr>
                <w:b w:val="0"/>
                <w:bCs w:val="0"/>
              </w:rPr>
            </w:pPr>
            <w:r w:rsidRPr="00C3268F">
              <w:t>66839</w:t>
            </w:r>
            <w:r>
              <w:rPr>
                <w:b w:val="0"/>
                <w:bCs w:val="0"/>
              </w:rPr>
              <w:t xml:space="preserve"> </w:t>
            </w:r>
          </w:p>
          <w:p w14:paraId="21A0C80E" w14:textId="14E4E209" w:rsidR="006F6063" w:rsidRPr="009574A0" w:rsidRDefault="006F6063" w:rsidP="009D6535">
            <w:r w:rsidRPr="009574A0">
              <w:rPr>
                <w:rFonts w:cs="Arial"/>
                <w:b w:val="0"/>
                <w:bCs w:val="0"/>
                <w:color w:val="auto"/>
                <w:szCs w:val="22"/>
              </w:rPr>
              <w:t xml:space="preserve">Quantification of methylmalonic acid or homocysteine, </w:t>
            </w:r>
            <w:r w:rsidR="009F7F4F" w:rsidRPr="009F7F4F">
              <w:rPr>
                <w:rFonts w:cs="Arial"/>
                <w:b w:val="0"/>
                <w:bCs w:val="0"/>
                <w:color w:val="auto"/>
                <w:szCs w:val="22"/>
              </w:rPr>
              <w:t>rendered in the same patient episode as</w:t>
            </w:r>
            <w:r w:rsidR="0018170B">
              <w:rPr>
                <w:rFonts w:cs="Arial"/>
                <w:b w:val="0"/>
                <w:bCs w:val="0"/>
                <w:color w:val="auto"/>
                <w:szCs w:val="22"/>
              </w:rPr>
              <w:t xml:space="preserve"> a service</w:t>
            </w:r>
            <w:r w:rsidR="009F7F4F" w:rsidRPr="009F7F4F">
              <w:rPr>
                <w:rFonts w:cs="Arial"/>
                <w:b w:val="0"/>
                <w:bCs w:val="0"/>
                <w:color w:val="auto"/>
                <w:szCs w:val="22"/>
              </w:rPr>
              <w:t xml:space="preserve"> to which item 66838 applies if the result of that service is inconclusive or abnormal</w:t>
            </w:r>
          </w:p>
          <w:p w14:paraId="3D130590" w14:textId="1EBBEAAB" w:rsidR="00860E70" w:rsidRDefault="003D2BA5" w:rsidP="00860E70">
            <w:r>
              <w:rPr>
                <w:b w:val="0"/>
                <w:bCs w:val="0"/>
              </w:rPr>
              <w:t>Applicable not</w:t>
            </w:r>
            <w:r w:rsidR="006F6063" w:rsidRPr="00860E70">
              <w:rPr>
                <w:b w:val="0"/>
                <w:bCs w:val="0"/>
              </w:rPr>
              <w:t xml:space="preserve"> more than once per 11 months</w:t>
            </w:r>
          </w:p>
          <w:p w14:paraId="42F427CC" w14:textId="77777777" w:rsidR="00860E70" w:rsidRPr="00860E70" w:rsidRDefault="00860E70" w:rsidP="00860E70">
            <w:pPr>
              <w:rPr>
                <w:b w:val="0"/>
                <w:bCs w:val="0"/>
              </w:rPr>
            </w:pPr>
          </w:p>
          <w:p w14:paraId="5E9BE3F9" w14:textId="77777777" w:rsidR="00860E70" w:rsidRPr="00860E70" w:rsidRDefault="006F6063" w:rsidP="00860E70">
            <w:pPr>
              <w:rPr>
                <w:b w:val="0"/>
                <w:bCs w:val="0"/>
              </w:rPr>
            </w:pPr>
            <w:r w:rsidRPr="00860E70">
              <w:rPr>
                <w:b w:val="0"/>
                <w:bCs w:val="0"/>
              </w:rPr>
              <w:t>MBS fee: $42.95</w:t>
            </w:r>
          </w:p>
          <w:p w14:paraId="782D81C3" w14:textId="1F88CFE2" w:rsidR="006F6063" w:rsidRPr="009574A0" w:rsidRDefault="006F6063" w:rsidP="00860E70">
            <w:pPr>
              <w:rPr>
                <w:rFonts w:cs="Arial"/>
                <w:b w:val="0"/>
                <w:bCs w:val="0"/>
                <w:color w:val="auto"/>
                <w:szCs w:val="22"/>
              </w:rPr>
            </w:pPr>
            <w:r w:rsidRPr="00860E70">
              <w:rPr>
                <w:b w:val="0"/>
                <w:bCs w:val="0"/>
              </w:rPr>
              <w:t>Benefit: 75% = $32.25 85% = $36.55</w:t>
            </w:r>
          </w:p>
        </w:tc>
      </w:tr>
    </w:tbl>
    <w:p w14:paraId="5D6D9521" w14:textId="77777777" w:rsidR="00860E70" w:rsidRDefault="00860E70">
      <w:pPr>
        <w:spacing w:before="0" w:after="0" w:line="240" w:lineRule="auto"/>
        <w:rPr>
          <w:rFonts w:cs="Arial"/>
          <w:b/>
          <w:bCs/>
          <w:iCs/>
          <w:color w:val="358189"/>
          <w:sz w:val="36"/>
          <w:szCs w:val="28"/>
        </w:rPr>
      </w:pPr>
      <w:r>
        <w:br w:type="page"/>
      </w:r>
    </w:p>
    <w:p w14:paraId="20678296" w14:textId="13BD3A2D" w:rsidR="004B0D4F" w:rsidRDefault="004B0D4F" w:rsidP="00D160B1">
      <w:pPr>
        <w:pStyle w:val="Heading2"/>
      </w:pPr>
      <w:r>
        <w:lastRenderedPageBreak/>
        <w:t>New item descriptors (to take effect 1 July 2025)</w:t>
      </w:r>
    </w:p>
    <w:tbl>
      <w:tblPr>
        <w:tblStyle w:val="GridTable4-Accent2"/>
        <w:tblW w:w="0" w:type="auto"/>
        <w:tblLook w:val="04A0" w:firstRow="1" w:lastRow="0" w:firstColumn="1" w:lastColumn="0" w:noHBand="0" w:noVBand="1"/>
      </w:tblPr>
      <w:tblGrid>
        <w:gridCol w:w="9060"/>
      </w:tblGrid>
      <w:tr w:rsidR="004B0D4F" w14:paraId="52BD038D" w14:textId="77777777" w:rsidTr="00D160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70FA708F" w14:textId="77777777" w:rsidR="004B0D4F" w:rsidRDefault="004B0D4F" w:rsidP="00EF52F2">
            <w:pPr>
              <w:rPr>
                <w:b w:val="0"/>
                <w:bCs w:val="0"/>
                <w:lang w:eastAsia="en-AU"/>
              </w:rPr>
            </w:pPr>
            <w:r>
              <w:rPr>
                <w:lang w:eastAsia="en-AU"/>
              </w:rPr>
              <w:t>Category 6 – Pathology Services</w:t>
            </w:r>
          </w:p>
        </w:tc>
      </w:tr>
      <w:tr w:rsidR="004B0D4F" w:rsidRPr="00642F20" w14:paraId="43C2D965" w14:textId="77777777" w:rsidTr="00D16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83E294A" w14:textId="2C567A50" w:rsidR="004B0D4F" w:rsidRPr="00BC1F1E" w:rsidRDefault="008F2128" w:rsidP="00BC1F1E">
            <w:pPr>
              <w:rPr>
                <w:b w:val="0"/>
                <w:bCs w:val="0"/>
                <w:lang w:eastAsia="en-AU"/>
              </w:rPr>
            </w:pPr>
            <w:r>
              <w:rPr>
                <w:lang w:eastAsia="en-AU"/>
              </w:rPr>
              <w:t>Group P2 – Chemical</w:t>
            </w:r>
          </w:p>
        </w:tc>
      </w:tr>
      <w:tr w:rsidR="004B0D4F" w:rsidRPr="009574A0" w14:paraId="0F1934C6" w14:textId="77777777" w:rsidTr="00D160B1">
        <w:tc>
          <w:tcPr>
            <w:cnfStyle w:val="001000000000" w:firstRow="0" w:lastRow="0" w:firstColumn="1" w:lastColumn="0" w:oddVBand="0" w:evenVBand="0" w:oddHBand="0" w:evenHBand="0" w:firstRowFirstColumn="0" w:firstRowLastColumn="0" w:lastRowFirstColumn="0" w:lastRowLastColumn="0"/>
            <w:tcW w:w="9060" w:type="dxa"/>
            <w:shd w:val="clear" w:color="auto" w:fill="D0EAED" w:themeFill="accent2" w:themeFillTint="33"/>
            <w:hideMark/>
          </w:tcPr>
          <w:p w14:paraId="598D541C" w14:textId="39B6525B" w:rsidR="008F2128" w:rsidRPr="00642F20" w:rsidRDefault="008F2128" w:rsidP="008F2128">
            <w:pPr>
              <w:pStyle w:val="ListBullet"/>
              <w:rPr>
                <w:b w:val="0"/>
                <w:bCs w:val="0"/>
              </w:rPr>
            </w:pPr>
            <w:r w:rsidRPr="00642F20">
              <w:rPr>
                <w:b w:val="0"/>
                <w:bCs w:val="0"/>
              </w:rPr>
              <w:t>Private Health Insurance Classification:</w:t>
            </w:r>
          </w:p>
          <w:p w14:paraId="1DE0AA9D" w14:textId="77777777" w:rsidR="008F2128" w:rsidRPr="00642F20" w:rsidRDefault="008F2128" w:rsidP="008F2128">
            <w:pPr>
              <w:pStyle w:val="ListBullet"/>
              <w:rPr>
                <w:b w:val="0"/>
                <w:bCs w:val="0"/>
              </w:rPr>
            </w:pPr>
            <w:r w:rsidRPr="00642F20">
              <w:rPr>
                <w:b w:val="0"/>
                <w:bCs w:val="0"/>
              </w:rPr>
              <w:t xml:space="preserve">Clinical category: </w:t>
            </w:r>
            <w:r w:rsidRPr="00FA63E2">
              <w:rPr>
                <w:b w:val="0"/>
                <w:bCs w:val="0"/>
              </w:rPr>
              <w:t>Support list (pathology)</w:t>
            </w:r>
          </w:p>
          <w:p w14:paraId="251AC58B" w14:textId="6A2B4FE6" w:rsidR="004B0D4F" w:rsidRPr="009574A0" w:rsidRDefault="008F2128" w:rsidP="008F2128">
            <w:pPr>
              <w:rPr>
                <w:b w:val="0"/>
                <w:bCs w:val="0"/>
              </w:rPr>
            </w:pPr>
            <w:r w:rsidRPr="00642F20">
              <w:rPr>
                <w:b w:val="0"/>
                <w:bCs w:val="0"/>
              </w:rPr>
              <w:t xml:space="preserve">Procedure type: Type </w:t>
            </w:r>
            <w:r>
              <w:rPr>
                <w:b w:val="0"/>
                <w:bCs w:val="0"/>
              </w:rPr>
              <w:t>C</w:t>
            </w:r>
            <w:r w:rsidDel="008F2128">
              <w:rPr>
                <w:lang w:eastAsia="en-AU"/>
              </w:rPr>
              <w:t xml:space="preserve"> </w:t>
            </w:r>
          </w:p>
        </w:tc>
      </w:tr>
      <w:tr w:rsidR="006F6063" w14:paraId="34EA6246" w14:textId="77777777" w:rsidTr="0018170B">
        <w:trPr>
          <w:cnfStyle w:val="000000100000" w:firstRow="0" w:lastRow="0" w:firstColumn="0" w:lastColumn="0" w:oddVBand="0" w:evenVBand="0" w:oddHBand="1" w:evenHBand="0" w:firstRowFirstColumn="0" w:firstRowLastColumn="0" w:lastRowFirstColumn="0" w:lastRowLastColumn="0"/>
          <w:trHeight w:val="6354"/>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6E687178" w14:textId="77777777" w:rsidR="006F6063" w:rsidRPr="004B0D4F" w:rsidRDefault="006F6063" w:rsidP="009D6535">
            <w:r w:rsidRPr="00D160B1">
              <w:t>66842</w:t>
            </w:r>
          </w:p>
          <w:p w14:paraId="37D60C05" w14:textId="21E92D8F" w:rsidR="006F6063" w:rsidRPr="00F74CF2" w:rsidRDefault="006F6063" w:rsidP="009D6535">
            <w:pPr>
              <w:rPr>
                <w:rFonts w:cs="Arial"/>
                <w:b w:val="0"/>
                <w:bCs w:val="0"/>
                <w:color w:val="auto"/>
                <w:szCs w:val="22"/>
              </w:rPr>
            </w:pPr>
            <w:r w:rsidRPr="009574A0">
              <w:rPr>
                <w:rFonts w:cs="Arial"/>
                <w:b w:val="0"/>
                <w:bCs w:val="0"/>
                <w:color w:val="auto"/>
                <w:szCs w:val="22"/>
              </w:rPr>
              <w:t xml:space="preserve">Quantification of one or more of total vitamin B12, holotranscobalamin, </w:t>
            </w:r>
            <w:bookmarkStart w:id="5" w:name="_Hlk192765498"/>
            <w:r w:rsidRPr="009574A0">
              <w:rPr>
                <w:rFonts w:cs="Arial"/>
                <w:b w:val="0"/>
                <w:bCs w:val="0"/>
                <w:color w:val="auto"/>
                <w:szCs w:val="22"/>
              </w:rPr>
              <w:t xml:space="preserve">methylmalonic acid, or </w:t>
            </w:r>
            <w:r w:rsidRPr="00F74CF2">
              <w:rPr>
                <w:rFonts w:cs="Arial"/>
                <w:b w:val="0"/>
                <w:bCs w:val="0"/>
                <w:color w:val="auto"/>
                <w:szCs w:val="22"/>
              </w:rPr>
              <w:t>homocysteine</w:t>
            </w:r>
            <w:bookmarkEnd w:id="5"/>
            <w:r w:rsidRPr="00F74CF2">
              <w:rPr>
                <w:rFonts w:cs="Arial"/>
                <w:b w:val="0"/>
                <w:bCs w:val="0"/>
                <w:color w:val="auto"/>
                <w:szCs w:val="22"/>
              </w:rPr>
              <w:t xml:space="preserve"> for a patient</w:t>
            </w:r>
            <w:r w:rsidR="00BC1F1E">
              <w:rPr>
                <w:rFonts w:cs="Arial"/>
                <w:b w:val="0"/>
                <w:bCs w:val="0"/>
                <w:color w:val="auto"/>
                <w:szCs w:val="22"/>
              </w:rPr>
              <w:t>:</w:t>
            </w:r>
          </w:p>
          <w:p w14:paraId="164CF00C" w14:textId="0C124607" w:rsidR="009F7F4F" w:rsidRPr="009F7F4F" w:rsidRDefault="003D2BA5" w:rsidP="009F7F4F">
            <w:pPr>
              <w:numPr>
                <w:ilvl w:val="0"/>
                <w:numId w:val="39"/>
              </w:numPr>
              <w:spacing w:before="0" w:after="0" w:line="252" w:lineRule="auto"/>
              <w:contextualSpacing/>
              <w:rPr>
                <w:rFonts w:cs="Arial"/>
                <w:b w:val="0"/>
                <w:bCs w:val="0"/>
                <w:color w:val="auto"/>
                <w:szCs w:val="22"/>
              </w:rPr>
            </w:pPr>
            <w:r>
              <w:rPr>
                <w:b w:val="0"/>
                <w:bCs w:val="0"/>
              </w:rPr>
              <w:t>w</w:t>
            </w:r>
            <w:r w:rsidR="00377599" w:rsidRPr="00BC1F1E">
              <w:rPr>
                <w:b w:val="0"/>
                <w:bCs w:val="0"/>
              </w:rPr>
              <w:t>ho</w:t>
            </w:r>
            <w:r w:rsidR="009F7F4F">
              <w:rPr>
                <w:b w:val="0"/>
                <w:bCs w:val="0"/>
              </w:rPr>
              <w:t>:</w:t>
            </w:r>
          </w:p>
          <w:p w14:paraId="50AACF47" w14:textId="4CB07FF4" w:rsidR="009F7F4F" w:rsidRPr="009F7F4F" w:rsidRDefault="00377599" w:rsidP="009F7F4F">
            <w:pPr>
              <w:numPr>
                <w:ilvl w:val="0"/>
                <w:numId w:val="38"/>
              </w:numPr>
              <w:spacing w:before="0" w:after="0" w:line="252" w:lineRule="auto"/>
              <w:contextualSpacing/>
              <w:rPr>
                <w:rFonts w:cs="Arial"/>
                <w:b w:val="0"/>
                <w:bCs w:val="0"/>
                <w:color w:val="auto"/>
                <w:szCs w:val="22"/>
              </w:rPr>
            </w:pPr>
            <w:r w:rsidRPr="00BC1F1E">
              <w:rPr>
                <w:b w:val="0"/>
                <w:bCs w:val="0"/>
              </w:rPr>
              <w:t xml:space="preserve"> is still experiencing symptoms of vitamin B12 deficiency 3 to 6 months after a service described in item </w:t>
            </w:r>
            <w:r w:rsidR="009F7F4F">
              <w:rPr>
                <w:b w:val="0"/>
                <w:bCs w:val="0"/>
              </w:rPr>
              <w:t xml:space="preserve">66838 or </w:t>
            </w:r>
            <w:r w:rsidRPr="00BC1F1E">
              <w:rPr>
                <w:b w:val="0"/>
                <w:bCs w:val="0"/>
              </w:rPr>
              <w:t>66839 was rendered for the patient</w:t>
            </w:r>
            <w:r w:rsidR="00C85527">
              <w:rPr>
                <w:b w:val="0"/>
                <w:bCs w:val="0"/>
              </w:rPr>
              <w:t>; or</w:t>
            </w:r>
          </w:p>
          <w:p w14:paraId="5EBD1415" w14:textId="1630472D" w:rsidR="006F6063" w:rsidRPr="00BC1F1E" w:rsidRDefault="00C85527" w:rsidP="009F7F4F">
            <w:pPr>
              <w:numPr>
                <w:ilvl w:val="0"/>
                <w:numId w:val="38"/>
              </w:numPr>
              <w:spacing w:before="0" w:after="0" w:line="252" w:lineRule="auto"/>
              <w:contextualSpacing/>
              <w:rPr>
                <w:rFonts w:cs="Arial"/>
                <w:b w:val="0"/>
                <w:bCs w:val="0"/>
                <w:color w:val="auto"/>
                <w:szCs w:val="22"/>
              </w:rPr>
            </w:pPr>
            <w:r w:rsidRPr="00C85527">
              <w:rPr>
                <w:b w:val="0"/>
                <w:bCs w:val="0"/>
              </w:rPr>
              <w:t>obtained inconclusive results from a service described in item 66839; or</w:t>
            </w:r>
          </w:p>
          <w:p w14:paraId="082B24A7" w14:textId="77777777" w:rsidR="00377599" w:rsidRPr="00C85527" w:rsidRDefault="00377599" w:rsidP="00C85527">
            <w:pPr>
              <w:numPr>
                <w:ilvl w:val="0"/>
                <w:numId w:val="39"/>
              </w:numPr>
              <w:spacing w:before="0" w:after="0" w:line="252" w:lineRule="auto"/>
              <w:contextualSpacing/>
              <w:rPr>
                <w:b w:val="0"/>
                <w:bCs w:val="0"/>
              </w:rPr>
            </w:pPr>
            <w:r w:rsidRPr="00C85527">
              <w:rPr>
                <w:b w:val="0"/>
                <w:bCs w:val="0"/>
              </w:rPr>
              <w:t>to whom one or more of the following applies:</w:t>
            </w:r>
          </w:p>
          <w:p w14:paraId="0E665198" w14:textId="77777777" w:rsidR="00377599" w:rsidRPr="00BC1F1E" w:rsidRDefault="00377599" w:rsidP="00377599">
            <w:pPr>
              <w:pStyle w:val="ListParagraph"/>
              <w:numPr>
                <w:ilvl w:val="0"/>
                <w:numId w:val="37"/>
              </w:numPr>
              <w:spacing w:before="0" w:after="0" w:line="252" w:lineRule="auto"/>
              <w:rPr>
                <w:rFonts w:cs="Arial"/>
                <w:b w:val="0"/>
                <w:bCs w:val="0"/>
                <w:color w:val="auto"/>
                <w:szCs w:val="22"/>
              </w:rPr>
            </w:pPr>
            <w:r w:rsidRPr="00BC1F1E">
              <w:rPr>
                <w:rFonts w:cs="Arial"/>
                <w:b w:val="0"/>
                <w:bCs w:val="0"/>
                <w:color w:val="auto"/>
                <w:szCs w:val="22"/>
              </w:rPr>
              <w:t xml:space="preserve">the patient has a diet low in vitamin </w:t>
            </w:r>
            <w:proofErr w:type="gramStart"/>
            <w:r w:rsidRPr="00BC1F1E">
              <w:rPr>
                <w:rFonts w:cs="Arial"/>
                <w:b w:val="0"/>
                <w:bCs w:val="0"/>
                <w:color w:val="auto"/>
                <w:szCs w:val="22"/>
              </w:rPr>
              <w:t>B12;</w:t>
            </w:r>
            <w:proofErr w:type="gramEnd"/>
          </w:p>
          <w:p w14:paraId="24777082" w14:textId="77777777" w:rsidR="00377599" w:rsidRPr="00BC1F1E" w:rsidRDefault="00377599" w:rsidP="00377599">
            <w:pPr>
              <w:pStyle w:val="ListParagraph"/>
              <w:numPr>
                <w:ilvl w:val="0"/>
                <w:numId w:val="37"/>
              </w:numPr>
              <w:spacing w:before="0" w:after="0" w:line="252" w:lineRule="auto"/>
              <w:rPr>
                <w:rFonts w:cs="Arial"/>
                <w:b w:val="0"/>
                <w:bCs w:val="0"/>
                <w:color w:val="auto"/>
                <w:szCs w:val="22"/>
              </w:rPr>
            </w:pPr>
            <w:r w:rsidRPr="00BC1F1E">
              <w:rPr>
                <w:rFonts w:cs="Arial"/>
                <w:b w:val="0"/>
                <w:bCs w:val="0"/>
                <w:color w:val="auto"/>
                <w:szCs w:val="22"/>
              </w:rPr>
              <w:t xml:space="preserve">the patient has a family history of vitamin B12 deficiency or an autoimmune </w:t>
            </w:r>
            <w:proofErr w:type="gramStart"/>
            <w:r w:rsidRPr="00BC1F1E">
              <w:rPr>
                <w:rFonts w:cs="Arial"/>
                <w:b w:val="0"/>
                <w:bCs w:val="0"/>
                <w:color w:val="auto"/>
                <w:szCs w:val="22"/>
              </w:rPr>
              <w:t>condition;</w:t>
            </w:r>
            <w:proofErr w:type="gramEnd"/>
          </w:p>
          <w:p w14:paraId="598E9FC0" w14:textId="64ED4115" w:rsidR="00377599" w:rsidRPr="00BC1F1E" w:rsidRDefault="00377599" w:rsidP="00377599">
            <w:pPr>
              <w:pStyle w:val="ListParagraph"/>
              <w:numPr>
                <w:ilvl w:val="0"/>
                <w:numId w:val="37"/>
              </w:numPr>
              <w:spacing w:before="0" w:after="0" w:line="252" w:lineRule="auto"/>
              <w:rPr>
                <w:rFonts w:cs="Arial"/>
                <w:b w:val="0"/>
                <w:bCs w:val="0"/>
                <w:color w:val="auto"/>
                <w:szCs w:val="22"/>
              </w:rPr>
            </w:pPr>
            <w:r w:rsidRPr="00BC1F1E">
              <w:rPr>
                <w:rFonts w:cs="Arial"/>
                <w:b w:val="0"/>
                <w:bCs w:val="0"/>
                <w:color w:val="auto"/>
                <w:szCs w:val="22"/>
              </w:rPr>
              <w:t xml:space="preserve">the patient has previously had abdominal or pelvic </w:t>
            </w:r>
            <w:proofErr w:type="gramStart"/>
            <w:r w:rsidRPr="00BC1F1E">
              <w:rPr>
                <w:rFonts w:cs="Arial"/>
                <w:b w:val="0"/>
                <w:bCs w:val="0"/>
                <w:color w:val="auto"/>
                <w:szCs w:val="22"/>
              </w:rPr>
              <w:t>radiotherapy;</w:t>
            </w:r>
            <w:proofErr w:type="gramEnd"/>
          </w:p>
          <w:p w14:paraId="32F053F9" w14:textId="77777777" w:rsidR="00377599" w:rsidRPr="00BC1F1E" w:rsidRDefault="00377599" w:rsidP="00377599">
            <w:pPr>
              <w:pStyle w:val="ListParagraph"/>
              <w:numPr>
                <w:ilvl w:val="0"/>
                <w:numId w:val="37"/>
              </w:numPr>
              <w:spacing w:before="0" w:after="0" w:line="252" w:lineRule="auto"/>
              <w:rPr>
                <w:rFonts w:cs="Arial"/>
                <w:b w:val="0"/>
                <w:bCs w:val="0"/>
                <w:color w:val="auto"/>
                <w:szCs w:val="22"/>
              </w:rPr>
            </w:pPr>
            <w:r w:rsidRPr="00BC1F1E">
              <w:rPr>
                <w:rFonts w:cs="Arial"/>
                <w:b w:val="0"/>
                <w:bCs w:val="0"/>
                <w:color w:val="auto"/>
                <w:szCs w:val="22"/>
              </w:rPr>
              <w:t xml:space="preserve">the patient has previously had surgery involving the gastrointestinal </w:t>
            </w:r>
            <w:proofErr w:type="gramStart"/>
            <w:r w:rsidRPr="00BC1F1E">
              <w:rPr>
                <w:rFonts w:cs="Arial"/>
                <w:b w:val="0"/>
                <w:bCs w:val="0"/>
                <w:color w:val="auto"/>
                <w:szCs w:val="22"/>
              </w:rPr>
              <w:t>tract;</w:t>
            </w:r>
            <w:proofErr w:type="gramEnd"/>
          </w:p>
          <w:p w14:paraId="57C71789" w14:textId="7C63EE98" w:rsidR="00377599" w:rsidRPr="00BC1F1E" w:rsidRDefault="00377599" w:rsidP="00377599">
            <w:pPr>
              <w:pStyle w:val="ListParagraph"/>
              <w:numPr>
                <w:ilvl w:val="0"/>
                <w:numId w:val="37"/>
              </w:numPr>
              <w:spacing w:before="0" w:after="0" w:line="252" w:lineRule="auto"/>
              <w:rPr>
                <w:rFonts w:cs="Arial"/>
                <w:b w:val="0"/>
                <w:bCs w:val="0"/>
                <w:color w:val="auto"/>
                <w:szCs w:val="22"/>
              </w:rPr>
            </w:pPr>
            <w:r w:rsidRPr="00BC1F1E">
              <w:rPr>
                <w:rFonts w:cs="Arial"/>
                <w:b w:val="0"/>
                <w:bCs w:val="0"/>
                <w:color w:val="auto"/>
                <w:szCs w:val="22"/>
              </w:rPr>
              <w:t xml:space="preserve">the patient </w:t>
            </w:r>
            <w:r w:rsidR="000D4401" w:rsidRPr="000D4401">
              <w:rPr>
                <w:rFonts w:cs="Arial"/>
                <w:b w:val="0"/>
                <w:bCs w:val="0"/>
                <w:color w:val="auto"/>
                <w:szCs w:val="22"/>
              </w:rPr>
              <w:t>uses, or has a recent history of using, recreational</w:t>
            </w:r>
            <w:r w:rsidRPr="00BC1F1E">
              <w:rPr>
                <w:rFonts w:cs="Arial"/>
                <w:b w:val="0"/>
                <w:bCs w:val="0"/>
                <w:color w:val="auto"/>
                <w:szCs w:val="22"/>
              </w:rPr>
              <w:t xml:space="preserve"> nitrous </w:t>
            </w:r>
            <w:proofErr w:type="gramStart"/>
            <w:r w:rsidRPr="00BC1F1E">
              <w:rPr>
                <w:rFonts w:cs="Arial"/>
                <w:b w:val="0"/>
                <w:bCs w:val="0"/>
                <w:color w:val="auto"/>
                <w:szCs w:val="22"/>
              </w:rPr>
              <w:t>oxide;</w:t>
            </w:r>
            <w:proofErr w:type="gramEnd"/>
          </w:p>
          <w:p w14:paraId="7A104DD2" w14:textId="77777777" w:rsidR="00377599" w:rsidRPr="00BC1F1E" w:rsidRDefault="00377599" w:rsidP="00377599">
            <w:pPr>
              <w:pStyle w:val="ListParagraph"/>
              <w:numPr>
                <w:ilvl w:val="0"/>
                <w:numId w:val="37"/>
              </w:numPr>
              <w:spacing w:before="0" w:after="0" w:line="252" w:lineRule="auto"/>
              <w:rPr>
                <w:rFonts w:cs="Arial"/>
                <w:b w:val="0"/>
                <w:bCs w:val="0"/>
                <w:color w:val="auto"/>
                <w:szCs w:val="22"/>
              </w:rPr>
            </w:pPr>
            <w:r w:rsidRPr="00BC1F1E">
              <w:rPr>
                <w:rFonts w:cs="Arial"/>
                <w:b w:val="0"/>
                <w:bCs w:val="0"/>
                <w:color w:val="auto"/>
                <w:szCs w:val="22"/>
              </w:rPr>
              <w:t xml:space="preserve">the patient requires monitoring of vitamin B12 </w:t>
            </w:r>
            <w:proofErr w:type="gramStart"/>
            <w:r w:rsidRPr="00BC1F1E">
              <w:rPr>
                <w:rFonts w:cs="Arial"/>
                <w:b w:val="0"/>
                <w:bCs w:val="0"/>
                <w:color w:val="auto"/>
                <w:szCs w:val="22"/>
              </w:rPr>
              <w:t>treatment;</w:t>
            </w:r>
            <w:proofErr w:type="gramEnd"/>
          </w:p>
          <w:p w14:paraId="126E1EB3" w14:textId="641A9236" w:rsidR="00377599" w:rsidRPr="00BC1F1E" w:rsidRDefault="00377599" w:rsidP="00BC1F1E">
            <w:pPr>
              <w:pStyle w:val="ListParagraph"/>
              <w:numPr>
                <w:ilvl w:val="0"/>
                <w:numId w:val="37"/>
              </w:numPr>
              <w:spacing w:before="0" w:after="0" w:line="252" w:lineRule="auto"/>
              <w:rPr>
                <w:rFonts w:cs="Arial"/>
                <w:b w:val="0"/>
                <w:bCs w:val="0"/>
                <w:color w:val="auto"/>
                <w:szCs w:val="22"/>
              </w:rPr>
            </w:pPr>
            <w:r w:rsidRPr="00BC1F1E">
              <w:rPr>
                <w:rFonts w:cs="Arial"/>
                <w:b w:val="0"/>
                <w:bCs w:val="0"/>
                <w:color w:val="auto"/>
                <w:szCs w:val="22"/>
              </w:rPr>
              <w:t>the patient uses vitamin B12</w:t>
            </w:r>
            <w:r w:rsidR="0018170B">
              <w:rPr>
                <w:rFonts w:cs="Arial"/>
                <w:b w:val="0"/>
                <w:bCs w:val="0"/>
                <w:color w:val="auto"/>
                <w:szCs w:val="22"/>
              </w:rPr>
              <w:t>-</w:t>
            </w:r>
            <w:r w:rsidRPr="00BC1F1E">
              <w:rPr>
                <w:rFonts w:cs="Arial"/>
                <w:b w:val="0"/>
                <w:bCs w:val="0"/>
                <w:color w:val="auto"/>
                <w:szCs w:val="22"/>
              </w:rPr>
              <w:t xml:space="preserve">antagonistic </w:t>
            </w:r>
            <w:proofErr w:type="gramStart"/>
            <w:r w:rsidRPr="00BC1F1E">
              <w:rPr>
                <w:rFonts w:cs="Arial"/>
                <w:b w:val="0"/>
                <w:bCs w:val="0"/>
                <w:color w:val="auto"/>
                <w:szCs w:val="22"/>
              </w:rPr>
              <w:t>medicines</w:t>
            </w:r>
            <w:r w:rsidR="000D4401">
              <w:rPr>
                <w:rFonts w:cs="Arial"/>
                <w:b w:val="0"/>
                <w:bCs w:val="0"/>
                <w:color w:val="auto"/>
                <w:szCs w:val="22"/>
              </w:rPr>
              <w:t>;</w:t>
            </w:r>
            <w:proofErr w:type="gramEnd"/>
          </w:p>
          <w:p w14:paraId="08927FEA" w14:textId="3BA45A74" w:rsidR="006F6063" w:rsidRPr="00BC1F1E" w:rsidRDefault="00377599" w:rsidP="00BC1F1E">
            <w:pPr>
              <w:pStyle w:val="ListParagraph"/>
              <w:numPr>
                <w:ilvl w:val="0"/>
                <w:numId w:val="37"/>
              </w:numPr>
              <w:spacing w:before="0" w:after="0" w:line="252" w:lineRule="auto"/>
              <w:rPr>
                <w:rFonts w:cs="Arial"/>
                <w:b w:val="0"/>
                <w:bCs w:val="0"/>
                <w:color w:val="auto"/>
                <w:szCs w:val="22"/>
              </w:rPr>
            </w:pPr>
            <w:r w:rsidRPr="00BC1F1E">
              <w:rPr>
                <w:rFonts w:cs="Arial"/>
                <w:b w:val="0"/>
                <w:bCs w:val="0"/>
                <w:color w:val="auto"/>
                <w:szCs w:val="22"/>
              </w:rPr>
              <w:t>the patient has one or more clinical conditions with a recognised risk of vitamin B12 deficiency</w:t>
            </w:r>
          </w:p>
          <w:p w14:paraId="50B9C89E" w14:textId="77777777" w:rsidR="0018170B" w:rsidRDefault="006F6063" w:rsidP="009D6535">
            <w:pPr>
              <w:spacing w:after="0" w:line="221" w:lineRule="atLeast"/>
              <w:rPr>
                <w:rFonts w:cs="Arial"/>
                <w:color w:val="auto"/>
                <w:szCs w:val="22"/>
              </w:rPr>
            </w:pPr>
            <w:r w:rsidRPr="009574A0">
              <w:rPr>
                <w:rFonts w:cs="Arial"/>
                <w:b w:val="0"/>
                <w:bCs w:val="0"/>
                <w:color w:val="auto"/>
                <w:szCs w:val="22"/>
              </w:rPr>
              <w:br/>
            </w:r>
            <w:r>
              <w:rPr>
                <w:rFonts w:cs="Arial"/>
                <w:b w:val="0"/>
                <w:bCs w:val="0"/>
                <w:color w:val="auto"/>
                <w:szCs w:val="22"/>
              </w:rPr>
              <w:t>MBS f</w:t>
            </w:r>
            <w:r w:rsidRPr="009574A0">
              <w:rPr>
                <w:rFonts w:cs="Arial"/>
                <w:b w:val="0"/>
                <w:bCs w:val="0"/>
                <w:color w:val="auto"/>
                <w:szCs w:val="22"/>
              </w:rPr>
              <w:t>ee: $23.60</w:t>
            </w:r>
          </w:p>
          <w:p w14:paraId="7741DDE4" w14:textId="0252451F" w:rsidR="006F6063" w:rsidRPr="009574A0" w:rsidRDefault="006F6063" w:rsidP="009D6535">
            <w:pPr>
              <w:spacing w:after="0" w:line="221" w:lineRule="atLeast"/>
              <w:rPr>
                <w:rFonts w:ascii="Times New Roman" w:hAnsi="Times New Roman"/>
                <w:color w:val="FF0000"/>
                <w:sz w:val="20"/>
                <w:szCs w:val="20"/>
              </w:rPr>
            </w:pPr>
            <w:r w:rsidRPr="009574A0">
              <w:rPr>
                <w:rFonts w:cs="Arial"/>
                <w:b w:val="0"/>
                <w:bCs w:val="0"/>
                <w:color w:val="auto"/>
                <w:szCs w:val="22"/>
              </w:rPr>
              <w:t>Benefit: 75% = $17.70 85% = $20.10</w:t>
            </w:r>
          </w:p>
        </w:tc>
      </w:tr>
    </w:tbl>
    <w:p w14:paraId="30F450FD" w14:textId="77777777" w:rsidR="006F6063" w:rsidRDefault="006F6063"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5"/>
      <w:headerReference w:type="first" r:id="rId26"/>
      <w:footerReference w:type="first" r:id="rId2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29477" w14:textId="77777777" w:rsidR="002516B6" w:rsidRDefault="002516B6" w:rsidP="006B56BB">
      <w:r>
        <w:separator/>
      </w:r>
    </w:p>
    <w:p w14:paraId="11F67BEB" w14:textId="77777777" w:rsidR="002516B6" w:rsidRDefault="002516B6"/>
  </w:endnote>
  <w:endnote w:type="continuationSeparator" w:id="0">
    <w:p w14:paraId="6F9E7766" w14:textId="77777777" w:rsidR="002516B6" w:rsidRDefault="002516B6" w:rsidP="006B56BB">
      <w:r>
        <w:continuationSeparator/>
      </w:r>
    </w:p>
    <w:p w14:paraId="2D577F50" w14:textId="77777777" w:rsidR="002516B6" w:rsidRDefault="002516B6"/>
  </w:endnote>
  <w:endnote w:type="continuationNotice" w:id="1">
    <w:p w14:paraId="1549B1C9" w14:textId="77777777" w:rsidR="002516B6" w:rsidRDefault="00251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983E5B"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1619BC70" w:rsidR="00F51321" w:rsidRPr="00BD1D77" w:rsidRDefault="009574A0" w:rsidP="00F51321">
    <w:pPr>
      <w:pStyle w:val="Footer"/>
      <w:tabs>
        <w:tab w:val="clear" w:pos="9026"/>
        <w:tab w:val="right" w:pos="10466"/>
      </w:tabs>
      <w:rPr>
        <w:szCs w:val="20"/>
      </w:rPr>
    </w:pPr>
    <w:r w:rsidRPr="009574A0">
      <w:rPr>
        <w:b/>
        <w:szCs w:val="20"/>
      </w:rPr>
      <w:t xml:space="preserve">Amendments to Medicare Benefits Schedule (MBS) for Vitamin B12 testing </w:t>
    </w:r>
    <w:r w:rsidR="00F51321" w:rsidRPr="00BD1D77">
      <w:rPr>
        <w:b/>
        <w:szCs w:val="20"/>
      </w:rPr>
      <w:t>–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1F21AF78" w:rsidR="00CB03B8" w:rsidRPr="00F51321" w:rsidRDefault="00F51321" w:rsidP="00292535">
    <w:pPr>
      <w:pStyle w:val="Footer"/>
      <w:jc w:val="left"/>
    </w:pPr>
    <w:r w:rsidRPr="00BD1D77">
      <w:rPr>
        <w:szCs w:val="20"/>
      </w:rPr>
      <w:t xml:space="preserve">Last updated </w:t>
    </w:r>
    <w:r w:rsidRPr="003D2BA5">
      <w:rPr>
        <w:szCs w:val="20"/>
      </w:rPr>
      <w:t xml:space="preserve">– </w:t>
    </w:r>
    <w:r w:rsidR="00ED476B">
      <w:rPr>
        <w:szCs w:val="20"/>
      </w:rPr>
      <w:t>3 June</w:t>
    </w:r>
    <w:r w:rsidR="005E39FD">
      <w:rPr>
        <w:szCs w:val="20"/>
      </w:rPr>
      <w:t xml:space="preserve"> </w:t>
    </w:r>
    <w:r w:rsidR="009773B6" w:rsidRPr="003D2BA5">
      <w:rPr>
        <w:szCs w:val="20"/>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983E5B"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142AD859" w:rsidR="00064168" w:rsidRPr="00BD1D77" w:rsidRDefault="009574A0" w:rsidP="00064168">
    <w:pPr>
      <w:pStyle w:val="Footer"/>
      <w:tabs>
        <w:tab w:val="clear" w:pos="9026"/>
        <w:tab w:val="right" w:pos="10466"/>
      </w:tabs>
      <w:rPr>
        <w:szCs w:val="20"/>
      </w:rPr>
    </w:pPr>
    <w:r w:rsidRPr="009574A0">
      <w:rPr>
        <w:b/>
        <w:szCs w:val="20"/>
      </w:rPr>
      <w:t xml:space="preserve">Amendments to Medicare Benefits Schedule (MBS) for Vitamin B12 testing </w:t>
    </w:r>
    <w:r w:rsidR="00064168" w:rsidRPr="00BD1D77">
      <w:rPr>
        <w:b/>
        <w:szCs w:val="20"/>
      </w:rPr>
      <w:t>–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01BF4690" w:rsidR="00064168" w:rsidRPr="00BD1D77" w:rsidRDefault="00064168" w:rsidP="00064168">
    <w:pPr>
      <w:pStyle w:val="Footer"/>
      <w:jc w:val="left"/>
      <w:rPr>
        <w:szCs w:val="20"/>
      </w:rPr>
    </w:pPr>
    <w:r w:rsidRPr="00BD1D77">
      <w:rPr>
        <w:szCs w:val="20"/>
      </w:rPr>
      <w:t xml:space="preserve">Last </w:t>
    </w:r>
    <w:r w:rsidRPr="003D2BA5">
      <w:rPr>
        <w:szCs w:val="20"/>
      </w:rPr>
      <w:t xml:space="preserve">updated – </w:t>
    </w:r>
    <w:r w:rsidR="00ED476B">
      <w:rPr>
        <w:szCs w:val="20"/>
      </w:rPr>
      <w:t>3 June</w:t>
    </w:r>
    <w:r w:rsidR="00D870B2" w:rsidRPr="003D2BA5">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AC9CB" w14:textId="77777777" w:rsidR="002516B6" w:rsidRDefault="002516B6" w:rsidP="006B56BB">
      <w:r>
        <w:separator/>
      </w:r>
    </w:p>
    <w:p w14:paraId="6F7C22DF" w14:textId="77777777" w:rsidR="002516B6" w:rsidRDefault="002516B6"/>
  </w:footnote>
  <w:footnote w:type="continuationSeparator" w:id="0">
    <w:p w14:paraId="679EA098" w14:textId="77777777" w:rsidR="002516B6" w:rsidRDefault="002516B6" w:rsidP="006B56BB">
      <w:r>
        <w:continuationSeparator/>
      </w:r>
    </w:p>
    <w:p w14:paraId="4B83D510" w14:textId="77777777" w:rsidR="002516B6" w:rsidRDefault="002516B6"/>
  </w:footnote>
  <w:footnote w:type="continuationNotice" w:id="1">
    <w:p w14:paraId="3E70A575" w14:textId="77777777" w:rsidR="002516B6" w:rsidRDefault="002516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27F369D9" w:rsidR="00B53987" w:rsidRDefault="009354D2">
    <w:pPr>
      <w:pStyle w:val="Header"/>
    </w:pPr>
    <w:r>
      <w:rPr>
        <w:noProof/>
        <w:lang w:eastAsia="en-AU"/>
      </w:rPr>
      <w:drawing>
        <wp:inline distT="0" distB="0" distL="0" distR="0" wp14:anchorId="5F92440D" wp14:editId="7D290F9C">
          <wp:extent cx="3343275" cy="533400"/>
          <wp:effectExtent l="0" t="0" r="9525" b="0"/>
          <wp:docPr id="964242562" name="Picture 1" descr="Australian Government 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42562" name="Picture 1" descr="Australian Government 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FF223B"/>
    <w:multiLevelType w:val="hybridMultilevel"/>
    <w:tmpl w:val="0644D722"/>
    <w:lvl w:ilvl="0" w:tplc="B0728626">
      <w:start w:val="1"/>
      <w:numFmt w:val="bullet"/>
      <w:lvlText w:val=""/>
      <w:lvlJc w:val="left"/>
      <w:pPr>
        <w:ind w:left="360" w:hanging="360"/>
      </w:pPr>
      <w:rPr>
        <w:rFonts w:ascii="Symbol" w:hAnsi="Symbol" w:hint="default"/>
        <w:color w:val="358189" w:themeColor="accent2"/>
        <w:spacing w:val="0"/>
        <w:w w:val="100"/>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94C4F88"/>
    <w:multiLevelType w:val="multilevel"/>
    <w:tmpl w:val="9D18470C"/>
    <w:lvl w:ilvl="0">
      <w:start w:val="1"/>
      <w:numFmt w:val="lowerLetter"/>
      <w:lvlText w:val="%1."/>
      <w:lvlJc w:val="left"/>
      <w:pPr>
        <w:tabs>
          <w:tab w:val="num" w:pos="720"/>
        </w:tabs>
        <w:ind w:left="720" w:hanging="360"/>
      </w:pPr>
    </w:lvl>
    <w:lvl w:ilvl="1">
      <w:start w:val="1"/>
      <w:numFmt w:val="lowerRoman"/>
      <w:lvlText w:val="%2."/>
      <w:lvlJc w:val="right"/>
      <w:pPr>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A32097EE"/>
    <w:lvl w:ilvl="0" w:tplc="B0728626">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261CDC"/>
    <w:multiLevelType w:val="hybridMultilevel"/>
    <w:tmpl w:val="96F23CAC"/>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5AE65FEE"/>
    <w:multiLevelType w:val="multilevel"/>
    <w:tmpl w:val="3A727A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D107808"/>
    <w:multiLevelType w:val="hybridMultilevel"/>
    <w:tmpl w:val="4540F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871E7"/>
    <w:multiLevelType w:val="hybridMultilevel"/>
    <w:tmpl w:val="1A966D08"/>
    <w:lvl w:ilvl="0" w:tplc="185E31CC">
      <w:start w:val="1"/>
      <w:numFmt w:val="lowerRoman"/>
      <w:lvlText w:val="(%1)"/>
      <w:lvlJc w:val="left"/>
      <w:pPr>
        <w:ind w:left="1080" w:hanging="360"/>
      </w:pPr>
      <w:rPr>
        <w:rFonts w:hint="default"/>
        <w:b w:val="0"/>
      </w:rPr>
    </w:lvl>
    <w:lvl w:ilvl="1" w:tplc="185E31CC">
      <w:start w:val="1"/>
      <w:numFmt w:val="lowerRoman"/>
      <w:lvlText w:val="(%2)"/>
      <w:lvlJc w:val="left"/>
      <w:pPr>
        <w:ind w:left="1800" w:hanging="360"/>
      </w:pPr>
      <w:rPr>
        <w:rFonts w:hint="default"/>
        <w:b w: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5D034D4"/>
    <w:multiLevelType w:val="multilevel"/>
    <w:tmpl w:val="3854549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5B33ED"/>
    <w:multiLevelType w:val="hybridMultilevel"/>
    <w:tmpl w:val="BAF255C2"/>
    <w:lvl w:ilvl="0" w:tplc="185E31CC">
      <w:start w:val="1"/>
      <w:numFmt w:val="lowerRoman"/>
      <w:lvlText w:val="(%1)"/>
      <w:lvlJc w:val="left"/>
      <w:pPr>
        <w:ind w:left="1440" w:hanging="72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D987655"/>
    <w:multiLevelType w:val="hybridMultilevel"/>
    <w:tmpl w:val="4454AB5E"/>
    <w:lvl w:ilvl="0" w:tplc="0C090017">
      <w:start w:val="1"/>
      <w:numFmt w:val="lowerLetter"/>
      <w:lvlText w:val="%1)"/>
      <w:lvlJc w:val="left"/>
      <w:pPr>
        <w:ind w:left="360" w:hanging="360"/>
      </w:pPr>
      <w:rPr>
        <w:rFonts w:hint="default"/>
        <w:b w:val="0"/>
      </w:rPr>
    </w:lvl>
    <w:lvl w:ilvl="1" w:tplc="FFFFFFFF">
      <w:start w:val="1"/>
      <w:numFmt w:val="lowerRoman"/>
      <w:lvlText w:val="(%2)"/>
      <w:lvlJc w:val="left"/>
      <w:pPr>
        <w:ind w:left="1080" w:hanging="360"/>
      </w:pPr>
      <w:rPr>
        <w:rFonts w:hint="default"/>
        <w:b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0"/>
  </w:num>
  <w:num w:numId="3" w16cid:durableId="1161390217">
    <w:abstractNumId w:val="27"/>
  </w:num>
  <w:num w:numId="4" w16cid:durableId="1616522112">
    <w:abstractNumId w:val="8"/>
  </w:num>
  <w:num w:numId="5" w16cid:durableId="1326863177">
    <w:abstractNumId w:val="8"/>
    <w:lvlOverride w:ilvl="0">
      <w:startOverride w:val="1"/>
    </w:lvlOverride>
  </w:num>
  <w:num w:numId="6" w16cid:durableId="312683612">
    <w:abstractNumId w:val="11"/>
  </w:num>
  <w:num w:numId="7" w16cid:durableId="816721464">
    <w:abstractNumId w:val="18"/>
  </w:num>
  <w:num w:numId="8" w16cid:durableId="565603559">
    <w:abstractNumId w:val="26"/>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30"/>
  </w:num>
  <w:num w:numId="17" w16cid:durableId="2113471318">
    <w:abstractNumId w:val="13"/>
  </w:num>
  <w:num w:numId="18" w16cid:durableId="828592903">
    <w:abstractNumId w:val="15"/>
  </w:num>
  <w:num w:numId="19" w16cid:durableId="1273391997">
    <w:abstractNumId w:val="17"/>
  </w:num>
  <w:num w:numId="20" w16cid:durableId="2041469188">
    <w:abstractNumId w:val="13"/>
  </w:num>
  <w:num w:numId="21" w16cid:durableId="120997448">
    <w:abstractNumId w:val="17"/>
  </w:num>
  <w:num w:numId="22" w16cid:durableId="1088427743">
    <w:abstractNumId w:val="30"/>
  </w:num>
  <w:num w:numId="23" w16cid:durableId="111368400">
    <w:abstractNumId w:val="20"/>
  </w:num>
  <w:num w:numId="24" w16cid:durableId="815339056">
    <w:abstractNumId w:val="27"/>
  </w:num>
  <w:num w:numId="25" w16cid:durableId="743180995">
    <w:abstractNumId w:val="8"/>
  </w:num>
  <w:num w:numId="26" w16cid:durableId="320358050">
    <w:abstractNumId w:val="19"/>
  </w:num>
  <w:num w:numId="27" w16cid:durableId="508569404">
    <w:abstractNumId w:val="14"/>
  </w:num>
  <w:num w:numId="28" w16cid:durableId="1416364898">
    <w:abstractNumId w:val="16"/>
  </w:num>
  <w:num w:numId="29" w16cid:durableId="100344043">
    <w:abstractNumId w:val="12"/>
  </w:num>
  <w:num w:numId="30" w16cid:durableId="1575821124">
    <w:abstractNumId w:val="14"/>
  </w:num>
  <w:num w:numId="31" w16cid:durableId="1371295494">
    <w:abstractNumId w:val="23"/>
  </w:num>
  <w:num w:numId="32" w16cid:durableId="2022662250">
    <w:abstractNumId w:val="9"/>
  </w:num>
  <w:num w:numId="33" w16cid:durableId="2013020293">
    <w:abstractNumId w:val="22"/>
  </w:num>
  <w:num w:numId="34" w16cid:durableId="1458715714">
    <w:abstractNumId w:val="25"/>
  </w:num>
  <w:num w:numId="35" w16cid:durableId="1557206295">
    <w:abstractNumId w:val="10"/>
  </w:num>
  <w:num w:numId="36" w16cid:durableId="519777211">
    <w:abstractNumId w:val="21"/>
  </w:num>
  <w:num w:numId="37" w16cid:durableId="1428817126">
    <w:abstractNumId w:val="28"/>
  </w:num>
  <w:num w:numId="38" w16cid:durableId="1320117940">
    <w:abstractNumId w:val="24"/>
  </w:num>
  <w:num w:numId="39" w16cid:durableId="18972321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2B1"/>
    <w:rsid w:val="00005712"/>
    <w:rsid w:val="0000589D"/>
    <w:rsid w:val="00007457"/>
    <w:rsid w:val="00007FD8"/>
    <w:rsid w:val="000117F8"/>
    <w:rsid w:val="00013B9A"/>
    <w:rsid w:val="0001460F"/>
    <w:rsid w:val="00016D58"/>
    <w:rsid w:val="0002135E"/>
    <w:rsid w:val="00022629"/>
    <w:rsid w:val="00023023"/>
    <w:rsid w:val="00024DFE"/>
    <w:rsid w:val="00025D46"/>
    <w:rsid w:val="00026139"/>
    <w:rsid w:val="00027601"/>
    <w:rsid w:val="00027751"/>
    <w:rsid w:val="00033321"/>
    <w:rsid w:val="000338E5"/>
    <w:rsid w:val="00033ECC"/>
    <w:rsid w:val="0003422F"/>
    <w:rsid w:val="00036455"/>
    <w:rsid w:val="00040BC3"/>
    <w:rsid w:val="00041164"/>
    <w:rsid w:val="00046FF0"/>
    <w:rsid w:val="00050176"/>
    <w:rsid w:val="00050342"/>
    <w:rsid w:val="00056A81"/>
    <w:rsid w:val="000608C2"/>
    <w:rsid w:val="00063857"/>
    <w:rsid w:val="00064168"/>
    <w:rsid w:val="00065833"/>
    <w:rsid w:val="00067456"/>
    <w:rsid w:val="00071506"/>
    <w:rsid w:val="0007154F"/>
    <w:rsid w:val="00080BAC"/>
    <w:rsid w:val="00081AB1"/>
    <w:rsid w:val="00090316"/>
    <w:rsid w:val="00093981"/>
    <w:rsid w:val="000A1D8C"/>
    <w:rsid w:val="000B067A"/>
    <w:rsid w:val="000B1540"/>
    <w:rsid w:val="000B1E53"/>
    <w:rsid w:val="000B2849"/>
    <w:rsid w:val="000B33FD"/>
    <w:rsid w:val="000B4ABA"/>
    <w:rsid w:val="000C0475"/>
    <w:rsid w:val="000C1ECE"/>
    <w:rsid w:val="000C4B16"/>
    <w:rsid w:val="000C50C3"/>
    <w:rsid w:val="000C5E14"/>
    <w:rsid w:val="000D21F6"/>
    <w:rsid w:val="000D4401"/>
    <w:rsid w:val="000D4500"/>
    <w:rsid w:val="000D7AEA"/>
    <w:rsid w:val="000E2C66"/>
    <w:rsid w:val="000F0D67"/>
    <w:rsid w:val="000F123C"/>
    <w:rsid w:val="000F2FED"/>
    <w:rsid w:val="000F6431"/>
    <w:rsid w:val="000F7F8F"/>
    <w:rsid w:val="0010616D"/>
    <w:rsid w:val="00110478"/>
    <w:rsid w:val="00111901"/>
    <w:rsid w:val="001162A6"/>
    <w:rsid w:val="0011711B"/>
    <w:rsid w:val="00117F8A"/>
    <w:rsid w:val="0012039D"/>
    <w:rsid w:val="001210F8"/>
    <w:rsid w:val="00121B9B"/>
    <w:rsid w:val="00122ADC"/>
    <w:rsid w:val="001245EF"/>
    <w:rsid w:val="00126EAB"/>
    <w:rsid w:val="001302C2"/>
    <w:rsid w:val="00130F59"/>
    <w:rsid w:val="00133EC0"/>
    <w:rsid w:val="00135DF9"/>
    <w:rsid w:val="00141CE5"/>
    <w:rsid w:val="00144908"/>
    <w:rsid w:val="00156D96"/>
    <w:rsid w:val="001571C7"/>
    <w:rsid w:val="00161094"/>
    <w:rsid w:val="0017665C"/>
    <w:rsid w:val="00177AD2"/>
    <w:rsid w:val="001815A8"/>
    <w:rsid w:val="0018170B"/>
    <w:rsid w:val="00182B23"/>
    <w:rsid w:val="001840FA"/>
    <w:rsid w:val="00186ABC"/>
    <w:rsid w:val="00190079"/>
    <w:rsid w:val="0019172E"/>
    <w:rsid w:val="0019622E"/>
    <w:rsid w:val="001966A7"/>
    <w:rsid w:val="0019761F"/>
    <w:rsid w:val="00197657"/>
    <w:rsid w:val="001A2646"/>
    <w:rsid w:val="001A2783"/>
    <w:rsid w:val="001A4627"/>
    <w:rsid w:val="001A4979"/>
    <w:rsid w:val="001A7873"/>
    <w:rsid w:val="001B15D3"/>
    <w:rsid w:val="001B3443"/>
    <w:rsid w:val="001C0326"/>
    <w:rsid w:val="001C192F"/>
    <w:rsid w:val="001C3C42"/>
    <w:rsid w:val="001C5601"/>
    <w:rsid w:val="001D01BB"/>
    <w:rsid w:val="001D7869"/>
    <w:rsid w:val="001E1B05"/>
    <w:rsid w:val="001E48A4"/>
    <w:rsid w:val="002008DE"/>
    <w:rsid w:val="002026CD"/>
    <w:rsid w:val="002033FC"/>
    <w:rsid w:val="002044BB"/>
    <w:rsid w:val="00210B09"/>
    <w:rsid w:val="00210C9E"/>
    <w:rsid w:val="00211840"/>
    <w:rsid w:val="00220E5F"/>
    <w:rsid w:val="002212B5"/>
    <w:rsid w:val="00226668"/>
    <w:rsid w:val="00233809"/>
    <w:rsid w:val="00234312"/>
    <w:rsid w:val="00235C94"/>
    <w:rsid w:val="00237A42"/>
    <w:rsid w:val="00240046"/>
    <w:rsid w:val="00241168"/>
    <w:rsid w:val="00242D68"/>
    <w:rsid w:val="0024650C"/>
    <w:rsid w:val="0024797F"/>
    <w:rsid w:val="0025119E"/>
    <w:rsid w:val="00251269"/>
    <w:rsid w:val="002516B6"/>
    <w:rsid w:val="002535C0"/>
    <w:rsid w:val="00255BF7"/>
    <w:rsid w:val="002579FE"/>
    <w:rsid w:val="00260552"/>
    <w:rsid w:val="0026311C"/>
    <w:rsid w:val="0026668C"/>
    <w:rsid w:val="00266AC1"/>
    <w:rsid w:val="0027178C"/>
    <w:rsid w:val="00271954"/>
    <w:rsid w:val="002719FA"/>
    <w:rsid w:val="00272668"/>
    <w:rsid w:val="00272877"/>
    <w:rsid w:val="0027330B"/>
    <w:rsid w:val="00274C93"/>
    <w:rsid w:val="00276CB4"/>
    <w:rsid w:val="0028039B"/>
    <w:rsid w:val="002803AD"/>
    <w:rsid w:val="002810BB"/>
    <w:rsid w:val="00282052"/>
    <w:rsid w:val="002831A3"/>
    <w:rsid w:val="0028519E"/>
    <w:rsid w:val="002856A5"/>
    <w:rsid w:val="002872ED"/>
    <w:rsid w:val="002905C2"/>
    <w:rsid w:val="00292535"/>
    <w:rsid w:val="002927FE"/>
    <w:rsid w:val="00295AF2"/>
    <w:rsid w:val="00295C91"/>
    <w:rsid w:val="00297151"/>
    <w:rsid w:val="002B20E6"/>
    <w:rsid w:val="002B42A3"/>
    <w:rsid w:val="002B53F4"/>
    <w:rsid w:val="002C0CDD"/>
    <w:rsid w:val="002C37D2"/>
    <w:rsid w:val="002C38C4"/>
    <w:rsid w:val="002C46AA"/>
    <w:rsid w:val="002D65A2"/>
    <w:rsid w:val="002E1A1D"/>
    <w:rsid w:val="002E4081"/>
    <w:rsid w:val="002E5B78"/>
    <w:rsid w:val="002F3AE3"/>
    <w:rsid w:val="003003A3"/>
    <w:rsid w:val="0030464B"/>
    <w:rsid w:val="0030786C"/>
    <w:rsid w:val="00317B29"/>
    <w:rsid w:val="003228F1"/>
    <w:rsid w:val="003233DE"/>
    <w:rsid w:val="00323534"/>
    <w:rsid w:val="0032466B"/>
    <w:rsid w:val="00330A4D"/>
    <w:rsid w:val="003330EB"/>
    <w:rsid w:val="00333C73"/>
    <w:rsid w:val="003415FD"/>
    <w:rsid w:val="003429F0"/>
    <w:rsid w:val="00345A82"/>
    <w:rsid w:val="0035097A"/>
    <w:rsid w:val="003540A4"/>
    <w:rsid w:val="00357BCC"/>
    <w:rsid w:val="00360E4E"/>
    <w:rsid w:val="00364F99"/>
    <w:rsid w:val="00370AAA"/>
    <w:rsid w:val="00375F77"/>
    <w:rsid w:val="00377599"/>
    <w:rsid w:val="00381BBE"/>
    <w:rsid w:val="00382903"/>
    <w:rsid w:val="003832F8"/>
    <w:rsid w:val="003846FF"/>
    <w:rsid w:val="003857D4"/>
    <w:rsid w:val="00385AD4"/>
    <w:rsid w:val="00385C01"/>
    <w:rsid w:val="00387924"/>
    <w:rsid w:val="0039384D"/>
    <w:rsid w:val="00395C23"/>
    <w:rsid w:val="003A2E4F"/>
    <w:rsid w:val="003A4438"/>
    <w:rsid w:val="003A5013"/>
    <w:rsid w:val="003A5078"/>
    <w:rsid w:val="003A62DD"/>
    <w:rsid w:val="003A63AE"/>
    <w:rsid w:val="003A775A"/>
    <w:rsid w:val="003A7C67"/>
    <w:rsid w:val="003B213A"/>
    <w:rsid w:val="003B43AD"/>
    <w:rsid w:val="003C0FEC"/>
    <w:rsid w:val="003C2AC8"/>
    <w:rsid w:val="003D033A"/>
    <w:rsid w:val="003D17F9"/>
    <w:rsid w:val="003D2BA5"/>
    <w:rsid w:val="003D2D88"/>
    <w:rsid w:val="003D39EE"/>
    <w:rsid w:val="003D419D"/>
    <w:rsid w:val="003D41EA"/>
    <w:rsid w:val="003D4850"/>
    <w:rsid w:val="003D535A"/>
    <w:rsid w:val="003D79FE"/>
    <w:rsid w:val="003E5265"/>
    <w:rsid w:val="003F08F4"/>
    <w:rsid w:val="003F0955"/>
    <w:rsid w:val="003F0F91"/>
    <w:rsid w:val="003F5F4D"/>
    <w:rsid w:val="003F646F"/>
    <w:rsid w:val="00400174"/>
    <w:rsid w:val="00400F00"/>
    <w:rsid w:val="00404F8B"/>
    <w:rsid w:val="00405256"/>
    <w:rsid w:val="00405ADD"/>
    <w:rsid w:val="00410031"/>
    <w:rsid w:val="00411EDE"/>
    <w:rsid w:val="004129D1"/>
    <w:rsid w:val="00415C81"/>
    <w:rsid w:val="004223F9"/>
    <w:rsid w:val="004231D7"/>
    <w:rsid w:val="004258F0"/>
    <w:rsid w:val="00432378"/>
    <w:rsid w:val="0043424A"/>
    <w:rsid w:val="00440617"/>
    <w:rsid w:val="00440D65"/>
    <w:rsid w:val="004435E6"/>
    <w:rsid w:val="00447E31"/>
    <w:rsid w:val="00453923"/>
    <w:rsid w:val="00454200"/>
    <w:rsid w:val="00454B9B"/>
    <w:rsid w:val="004566B6"/>
    <w:rsid w:val="00457858"/>
    <w:rsid w:val="00460260"/>
    <w:rsid w:val="00460B0B"/>
    <w:rsid w:val="00461023"/>
    <w:rsid w:val="00462FAC"/>
    <w:rsid w:val="00464631"/>
    <w:rsid w:val="00464B79"/>
    <w:rsid w:val="00467BBF"/>
    <w:rsid w:val="00477251"/>
    <w:rsid w:val="0048593C"/>
    <w:rsid w:val="004867E2"/>
    <w:rsid w:val="00490FFF"/>
    <w:rsid w:val="004929A9"/>
    <w:rsid w:val="004A78D9"/>
    <w:rsid w:val="004B0D4F"/>
    <w:rsid w:val="004C0AB5"/>
    <w:rsid w:val="004C1BCD"/>
    <w:rsid w:val="004C6BCF"/>
    <w:rsid w:val="004D58BF"/>
    <w:rsid w:val="004D5E3F"/>
    <w:rsid w:val="004E4335"/>
    <w:rsid w:val="004E5226"/>
    <w:rsid w:val="004F080F"/>
    <w:rsid w:val="004F13EE"/>
    <w:rsid w:val="004F2022"/>
    <w:rsid w:val="004F6674"/>
    <w:rsid w:val="004F7C05"/>
    <w:rsid w:val="00501C94"/>
    <w:rsid w:val="00506432"/>
    <w:rsid w:val="00506E82"/>
    <w:rsid w:val="005108BF"/>
    <w:rsid w:val="005146C7"/>
    <w:rsid w:val="0051572E"/>
    <w:rsid w:val="0051644F"/>
    <w:rsid w:val="005164AE"/>
    <w:rsid w:val="005173B4"/>
    <w:rsid w:val="0052051D"/>
    <w:rsid w:val="00525479"/>
    <w:rsid w:val="00527D63"/>
    <w:rsid w:val="00532CA6"/>
    <w:rsid w:val="005348D7"/>
    <w:rsid w:val="0054489A"/>
    <w:rsid w:val="00545EE6"/>
    <w:rsid w:val="005550E7"/>
    <w:rsid w:val="005564FB"/>
    <w:rsid w:val="0055706A"/>
    <w:rsid w:val="005572C7"/>
    <w:rsid w:val="00562452"/>
    <w:rsid w:val="00564721"/>
    <w:rsid w:val="005650ED"/>
    <w:rsid w:val="00566B81"/>
    <w:rsid w:val="00575754"/>
    <w:rsid w:val="00581FBA"/>
    <w:rsid w:val="005858A4"/>
    <w:rsid w:val="00586F42"/>
    <w:rsid w:val="00591E20"/>
    <w:rsid w:val="005920E7"/>
    <w:rsid w:val="00595408"/>
    <w:rsid w:val="00595E84"/>
    <w:rsid w:val="005A0838"/>
    <w:rsid w:val="005A0C59"/>
    <w:rsid w:val="005A22CF"/>
    <w:rsid w:val="005A48EB"/>
    <w:rsid w:val="005A6CFB"/>
    <w:rsid w:val="005B1FEF"/>
    <w:rsid w:val="005C5AEB"/>
    <w:rsid w:val="005D5486"/>
    <w:rsid w:val="005D5EDE"/>
    <w:rsid w:val="005D5F4E"/>
    <w:rsid w:val="005E0A3F"/>
    <w:rsid w:val="005E1AF9"/>
    <w:rsid w:val="005E2525"/>
    <w:rsid w:val="005E2D76"/>
    <w:rsid w:val="005E39FD"/>
    <w:rsid w:val="005E659D"/>
    <w:rsid w:val="005E6883"/>
    <w:rsid w:val="005E772F"/>
    <w:rsid w:val="005F4ECA"/>
    <w:rsid w:val="005F7E4B"/>
    <w:rsid w:val="006041BE"/>
    <w:rsid w:val="006042E7"/>
    <w:rsid w:val="006043C7"/>
    <w:rsid w:val="0062243D"/>
    <w:rsid w:val="00624B52"/>
    <w:rsid w:val="00630794"/>
    <w:rsid w:val="00631DF4"/>
    <w:rsid w:val="00634175"/>
    <w:rsid w:val="0063574E"/>
    <w:rsid w:val="006408AC"/>
    <w:rsid w:val="00642F20"/>
    <w:rsid w:val="006511B6"/>
    <w:rsid w:val="00657FF8"/>
    <w:rsid w:val="0066179F"/>
    <w:rsid w:val="0066598A"/>
    <w:rsid w:val="00670D99"/>
    <w:rsid w:val="00670E2B"/>
    <w:rsid w:val="006734BB"/>
    <w:rsid w:val="0067697A"/>
    <w:rsid w:val="006821EB"/>
    <w:rsid w:val="006912B7"/>
    <w:rsid w:val="00693A51"/>
    <w:rsid w:val="006941CD"/>
    <w:rsid w:val="006A0031"/>
    <w:rsid w:val="006B2286"/>
    <w:rsid w:val="006B2FB0"/>
    <w:rsid w:val="006B56BB"/>
    <w:rsid w:val="006B77F2"/>
    <w:rsid w:val="006C085B"/>
    <w:rsid w:val="006C5D93"/>
    <w:rsid w:val="006C6F4B"/>
    <w:rsid w:val="006C77A8"/>
    <w:rsid w:val="006D22A7"/>
    <w:rsid w:val="006D4098"/>
    <w:rsid w:val="006D67F4"/>
    <w:rsid w:val="006D7681"/>
    <w:rsid w:val="006D7B2E"/>
    <w:rsid w:val="006E02EA"/>
    <w:rsid w:val="006E0968"/>
    <w:rsid w:val="006E2AF6"/>
    <w:rsid w:val="006F5073"/>
    <w:rsid w:val="006F5309"/>
    <w:rsid w:val="006F6063"/>
    <w:rsid w:val="00701275"/>
    <w:rsid w:val="00701513"/>
    <w:rsid w:val="00707F56"/>
    <w:rsid w:val="00713558"/>
    <w:rsid w:val="00720D08"/>
    <w:rsid w:val="007263B9"/>
    <w:rsid w:val="00731255"/>
    <w:rsid w:val="007334F8"/>
    <w:rsid w:val="007339CD"/>
    <w:rsid w:val="007359D8"/>
    <w:rsid w:val="007362D4"/>
    <w:rsid w:val="00744B30"/>
    <w:rsid w:val="00746C16"/>
    <w:rsid w:val="00755AC6"/>
    <w:rsid w:val="00756527"/>
    <w:rsid w:val="0076672A"/>
    <w:rsid w:val="007723A7"/>
    <w:rsid w:val="0077512D"/>
    <w:rsid w:val="00775E45"/>
    <w:rsid w:val="00776E74"/>
    <w:rsid w:val="00785169"/>
    <w:rsid w:val="00785E55"/>
    <w:rsid w:val="007954AB"/>
    <w:rsid w:val="0079765E"/>
    <w:rsid w:val="007A14C5"/>
    <w:rsid w:val="007A4168"/>
    <w:rsid w:val="007A4A10"/>
    <w:rsid w:val="007B1750"/>
    <w:rsid w:val="007B1760"/>
    <w:rsid w:val="007B2FFF"/>
    <w:rsid w:val="007C1FDC"/>
    <w:rsid w:val="007C31DD"/>
    <w:rsid w:val="007C32D9"/>
    <w:rsid w:val="007C343D"/>
    <w:rsid w:val="007C35BC"/>
    <w:rsid w:val="007C6D9C"/>
    <w:rsid w:val="007C7DDB"/>
    <w:rsid w:val="007D2CC7"/>
    <w:rsid w:val="007D673D"/>
    <w:rsid w:val="007E0068"/>
    <w:rsid w:val="007E0FB8"/>
    <w:rsid w:val="007E4D09"/>
    <w:rsid w:val="007F08EA"/>
    <w:rsid w:val="007F2220"/>
    <w:rsid w:val="007F4B3E"/>
    <w:rsid w:val="00810E33"/>
    <w:rsid w:val="008127AF"/>
    <w:rsid w:val="00812B46"/>
    <w:rsid w:val="00815491"/>
    <w:rsid w:val="008155FD"/>
    <w:rsid w:val="00815700"/>
    <w:rsid w:val="0082246B"/>
    <w:rsid w:val="008264EB"/>
    <w:rsid w:val="00826B8F"/>
    <w:rsid w:val="00831E8A"/>
    <w:rsid w:val="00833CFB"/>
    <w:rsid w:val="008352E5"/>
    <w:rsid w:val="0083595B"/>
    <w:rsid w:val="00835C76"/>
    <w:rsid w:val="008376E2"/>
    <w:rsid w:val="00843049"/>
    <w:rsid w:val="008437CA"/>
    <w:rsid w:val="0085209B"/>
    <w:rsid w:val="008521C0"/>
    <w:rsid w:val="00852AA5"/>
    <w:rsid w:val="00856B66"/>
    <w:rsid w:val="008601AC"/>
    <w:rsid w:val="00860E70"/>
    <w:rsid w:val="00860F37"/>
    <w:rsid w:val="00861A5F"/>
    <w:rsid w:val="008644AD"/>
    <w:rsid w:val="00865735"/>
    <w:rsid w:val="00865DDB"/>
    <w:rsid w:val="00867538"/>
    <w:rsid w:val="00873D90"/>
    <w:rsid w:val="00873FC8"/>
    <w:rsid w:val="00882173"/>
    <w:rsid w:val="00884C63"/>
    <w:rsid w:val="008852F0"/>
    <w:rsid w:val="00885908"/>
    <w:rsid w:val="008864B7"/>
    <w:rsid w:val="0089677E"/>
    <w:rsid w:val="008A0B2A"/>
    <w:rsid w:val="008A1F08"/>
    <w:rsid w:val="008A7438"/>
    <w:rsid w:val="008A7494"/>
    <w:rsid w:val="008B1334"/>
    <w:rsid w:val="008B25C7"/>
    <w:rsid w:val="008C0278"/>
    <w:rsid w:val="008C24E9"/>
    <w:rsid w:val="008D0533"/>
    <w:rsid w:val="008D42CB"/>
    <w:rsid w:val="008D48C9"/>
    <w:rsid w:val="008D6381"/>
    <w:rsid w:val="008E0C77"/>
    <w:rsid w:val="008E625F"/>
    <w:rsid w:val="008F2128"/>
    <w:rsid w:val="008F264D"/>
    <w:rsid w:val="009040E9"/>
    <w:rsid w:val="009074E1"/>
    <w:rsid w:val="009112F7"/>
    <w:rsid w:val="009122AF"/>
    <w:rsid w:val="00912D54"/>
    <w:rsid w:val="0091389F"/>
    <w:rsid w:val="0091403E"/>
    <w:rsid w:val="00915FD0"/>
    <w:rsid w:val="009208F7"/>
    <w:rsid w:val="00920EFB"/>
    <w:rsid w:val="00921649"/>
    <w:rsid w:val="00922517"/>
    <w:rsid w:val="00922722"/>
    <w:rsid w:val="00925A01"/>
    <w:rsid w:val="009261E6"/>
    <w:rsid w:val="009268E1"/>
    <w:rsid w:val="009271EE"/>
    <w:rsid w:val="0093226A"/>
    <w:rsid w:val="00932814"/>
    <w:rsid w:val="009344AE"/>
    <w:rsid w:val="009344DE"/>
    <w:rsid w:val="009354D2"/>
    <w:rsid w:val="00945E7F"/>
    <w:rsid w:val="009518C7"/>
    <w:rsid w:val="009557C1"/>
    <w:rsid w:val="009574A0"/>
    <w:rsid w:val="00960D6E"/>
    <w:rsid w:val="009627E6"/>
    <w:rsid w:val="00963B1B"/>
    <w:rsid w:val="0097053D"/>
    <w:rsid w:val="00974B59"/>
    <w:rsid w:val="00976305"/>
    <w:rsid w:val="009773B6"/>
    <w:rsid w:val="0098166B"/>
    <w:rsid w:val="0098340B"/>
    <w:rsid w:val="00983E5B"/>
    <w:rsid w:val="00984201"/>
    <w:rsid w:val="00986830"/>
    <w:rsid w:val="0098790F"/>
    <w:rsid w:val="009924C3"/>
    <w:rsid w:val="00993102"/>
    <w:rsid w:val="009A18C5"/>
    <w:rsid w:val="009B0683"/>
    <w:rsid w:val="009B1570"/>
    <w:rsid w:val="009B4747"/>
    <w:rsid w:val="009C6F10"/>
    <w:rsid w:val="009C70A5"/>
    <w:rsid w:val="009D148F"/>
    <w:rsid w:val="009D3D70"/>
    <w:rsid w:val="009E4385"/>
    <w:rsid w:val="009E4C3D"/>
    <w:rsid w:val="009E6F7E"/>
    <w:rsid w:val="009E7242"/>
    <w:rsid w:val="009E7A57"/>
    <w:rsid w:val="009F4803"/>
    <w:rsid w:val="009F4F6A"/>
    <w:rsid w:val="009F5046"/>
    <w:rsid w:val="009F5138"/>
    <w:rsid w:val="009F7F4F"/>
    <w:rsid w:val="00A02D23"/>
    <w:rsid w:val="00A13EB5"/>
    <w:rsid w:val="00A167B3"/>
    <w:rsid w:val="00A16E36"/>
    <w:rsid w:val="00A23012"/>
    <w:rsid w:val="00A24961"/>
    <w:rsid w:val="00A24B10"/>
    <w:rsid w:val="00A26416"/>
    <w:rsid w:val="00A277EF"/>
    <w:rsid w:val="00A30E9B"/>
    <w:rsid w:val="00A33F68"/>
    <w:rsid w:val="00A34BD0"/>
    <w:rsid w:val="00A40B51"/>
    <w:rsid w:val="00A4512D"/>
    <w:rsid w:val="00A50244"/>
    <w:rsid w:val="00A51FF2"/>
    <w:rsid w:val="00A627D7"/>
    <w:rsid w:val="00A656C7"/>
    <w:rsid w:val="00A65B50"/>
    <w:rsid w:val="00A705AF"/>
    <w:rsid w:val="00A719F6"/>
    <w:rsid w:val="00A72454"/>
    <w:rsid w:val="00A77696"/>
    <w:rsid w:val="00A80557"/>
    <w:rsid w:val="00A81D33"/>
    <w:rsid w:val="00A8341C"/>
    <w:rsid w:val="00A83A8F"/>
    <w:rsid w:val="00A855FF"/>
    <w:rsid w:val="00A86370"/>
    <w:rsid w:val="00A8695F"/>
    <w:rsid w:val="00A930AE"/>
    <w:rsid w:val="00A94577"/>
    <w:rsid w:val="00A9662A"/>
    <w:rsid w:val="00AA1A95"/>
    <w:rsid w:val="00AA260F"/>
    <w:rsid w:val="00AB0705"/>
    <w:rsid w:val="00AB1EE7"/>
    <w:rsid w:val="00AB2B2E"/>
    <w:rsid w:val="00AB2F24"/>
    <w:rsid w:val="00AB4B37"/>
    <w:rsid w:val="00AB5762"/>
    <w:rsid w:val="00AC0F56"/>
    <w:rsid w:val="00AC1A51"/>
    <w:rsid w:val="00AC2679"/>
    <w:rsid w:val="00AC4BE4"/>
    <w:rsid w:val="00AC6513"/>
    <w:rsid w:val="00AD05E6"/>
    <w:rsid w:val="00AD0D3F"/>
    <w:rsid w:val="00AE1D7D"/>
    <w:rsid w:val="00AE2A8B"/>
    <w:rsid w:val="00AE3F64"/>
    <w:rsid w:val="00AF1324"/>
    <w:rsid w:val="00AF7386"/>
    <w:rsid w:val="00AF7934"/>
    <w:rsid w:val="00B00B81"/>
    <w:rsid w:val="00B04580"/>
    <w:rsid w:val="00B04B09"/>
    <w:rsid w:val="00B10ED1"/>
    <w:rsid w:val="00B16A51"/>
    <w:rsid w:val="00B24CDD"/>
    <w:rsid w:val="00B27A99"/>
    <w:rsid w:val="00B32222"/>
    <w:rsid w:val="00B32567"/>
    <w:rsid w:val="00B32E00"/>
    <w:rsid w:val="00B3618D"/>
    <w:rsid w:val="00B36233"/>
    <w:rsid w:val="00B42851"/>
    <w:rsid w:val="00B45350"/>
    <w:rsid w:val="00B45AC7"/>
    <w:rsid w:val="00B5372F"/>
    <w:rsid w:val="00B53987"/>
    <w:rsid w:val="00B54F04"/>
    <w:rsid w:val="00B61129"/>
    <w:rsid w:val="00B61951"/>
    <w:rsid w:val="00B67E7F"/>
    <w:rsid w:val="00B76DB3"/>
    <w:rsid w:val="00B839B2"/>
    <w:rsid w:val="00B873A0"/>
    <w:rsid w:val="00B94252"/>
    <w:rsid w:val="00B9715A"/>
    <w:rsid w:val="00BA06CF"/>
    <w:rsid w:val="00BA14BE"/>
    <w:rsid w:val="00BA25D5"/>
    <w:rsid w:val="00BA2732"/>
    <w:rsid w:val="00BA293D"/>
    <w:rsid w:val="00BA49BC"/>
    <w:rsid w:val="00BA56B7"/>
    <w:rsid w:val="00BA7A1E"/>
    <w:rsid w:val="00BB0DF0"/>
    <w:rsid w:val="00BB2F6C"/>
    <w:rsid w:val="00BB3875"/>
    <w:rsid w:val="00BB5860"/>
    <w:rsid w:val="00BB6AAD"/>
    <w:rsid w:val="00BB7506"/>
    <w:rsid w:val="00BC1F1E"/>
    <w:rsid w:val="00BC4A19"/>
    <w:rsid w:val="00BC4E6D"/>
    <w:rsid w:val="00BD0617"/>
    <w:rsid w:val="00BD0A9E"/>
    <w:rsid w:val="00BD1D77"/>
    <w:rsid w:val="00BD2E9B"/>
    <w:rsid w:val="00BD50C6"/>
    <w:rsid w:val="00BD54CE"/>
    <w:rsid w:val="00BD7FB2"/>
    <w:rsid w:val="00BE1EE1"/>
    <w:rsid w:val="00BE3ED5"/>
    <w:rsid w:val="00BE42C7"/>
    <w:rsid w:val="00BF47DB"/>
    <w:rsid w:val="00C00930"/>
    <w:rsid w:val="00C02732"/>
    <w:rsid w:val="00C060AD"/>
    <w:rsid w:val="00C113BF"/>
    <w:rsid w:val="00C1394D"/>
    <w:rsid w:val="00C2161A"/>
    <w:rsid w:val="00C2176E"/>
    <w:rsid w:val="00C22E29"/>
    <w:rsid w:val="00C23430"/>
    <w:rsid w:val="00C27D67"/>
    <w:rsid w:val="00C309AE"/>
    <w:rsid w:val="00C3268F"/>
    <w:rsid w:val="00C35AAC"/>
    <w:rsid w:val="00C3754E"/>
    <w:rsid w:val="00C40A0E"/>
    <w:rsid w:val="00C435AF"/>
    <w:rsid w:val="00C4517D"/>
    <w:rsid w:val="00C4631F"/>
    <w:rsid w:val="00C47CDE"/>
    <w:rsid w:val="00C50E16"/>
    <w:rsid w:val="00C55258"/>
    <w:rsid w:val="00C64F12"/>
    <w:rsid w:val="00C653D4"/>
    <w:rsid w:val="00C708B9"/>
    <w:rsid w:val="00C71A8A"/>
    <w:rsid w:val="00C75FA3"/>
    <w:rsid w:val="00C82EEB"/>
    <w:rsid w:val="00C830CF"/>
    <w:rsid w:val="00C85527"/>
    <w:rsid w:val="00C904E8"/>
    <w:rsid w:val="00C9708B"/>
    <w:rsid w:val="00C971DC"/>
    <w:rsid w:val="00CA16B7"/>
    <w:rsid w:val="00CA2692"/>
    <w:rsid w:val="00CA62AE"/>
    <w:rsid w:val="00CB02A7"/>
    <w:rsid w:val="00CB03B8"/>
    <w:rsid w:val="00CB11D7"/>
    <w:rsid w:val="00CB1A91"/>
    <w:rsid w:val="00CB4A04"/>
    <w:rsid w:val="00CB5B1A"/>
    <w:rsid w:val="00CC220B"/>
    <w:rsid w:val="00CC5C43"/>
    <w:rsid w:val="00CC7945"/>
    <w:rsid w:val="00CD02AE"/>
    <w:rsid w:val="00CD2A4F"/>
    <w:rsid w:val="00CD41E4"/>
    <w:rsid w:val="00CE03CA"/>
    <w:rsid w:val="00CE22F1"/>
    <w:rsid w:val="00CE4255"/>
    <w:rsid w:val="00CE50F2"/>
    <w:rsid w:val="00CE6502"/>
    <w:rsid w:val="00CF1633"/>
    <w:rsid w:val="00CF7D3C"/>
    <w:rsid w:val="00D01F09"/>
    <w:rsid w:val="00D03527"/>
    <w:rsid w:val="00D147EB"/>
    <w:rsid w:val="00D160B1"/>
    <w:rsid w:val="00D202E9"/>
    <w:rsid w:val="00D22AEF"/>
    <w:rsid w:val="00D27E71"/>
    <w:rsid w:val="00D34667"/>
    <w:rsid w:val="00D401E1"/>
    <w:rsid w:val="00D408B4"/>
    <w:rsid w:val="00D4156F"/>
    <w:rsid w:val="00D431C4"/>
    <w:rsid w:val="00D44330"/>
    <w:rsid w:val="00D447C1"/>
    <w:rsid w:val="00D524C8"/>
    <w:rsid w:val="00D52F6D"/>
    <w:rsid w:val="00D6484D"/>
    <w:rsid w:val="00D70E24"/>
    <w:rsid w:val="00D72B61"/>
    <w:rsid w:val="00D80497"/>
    <w:rsid w:val="00D870B2"/>
    <w:rsid w:val="00D92A36"/>
    <w:rsid w:val="00DA3789"/>
    <w:rsid w:val="00DA3D1D"/>
    <w:rsid w:val="00DB4B48"/>
    <w:rsid w:val="00DB544A"/>
    <w:rsid w:val="00DB6286"/>
    <w:rsid w:val="00DB645F"/>
    <w:rsid w:val="00DB64A9"/>
    <w:rsid w:val="00DB686F"/>
    <w:rsid w:val="00DB76E9"/>
    <w:rsid w:val="00DC0A67"/>
    <w:rsid w:val="00DC18FD"/>
    <w:rsid w:val="00DC1D5E"/>
    <w:rsid w:val="00DC2498"/>
    <w:rsid w:val="00DC252D"/>
    <w:rsid w:val="00DC5220"/>
    <w:rsid w:val="00DC6EFF"/>
    <w:rsid w:val="00DD2061"/>
    <w:rsid w:val="00DD31B6"/>
    <w:rsid w:val="00DD4635"/>
    <w:rsid w:val="00DD7DAB"/>
    <w:rsid w:val="00DE1A4B"/>
    <w:rsid w:val="00DE3355"/>
    <w:rsid w:val="00DF09D9"/>
    <w:rsid w:val="00DF0C60"/>
    <w:rsid w:val="00DF486F"/>
    <w:rsid w:val="00DF5B5B"/>
    <w:rsid w:val="00DF7619"/>
    <w:rsid w:val="00E010E4"/>
    <w:rsid w:val="00E042D8"/>
    <w:rsid w:val="00E07EE7"/>
    <w:rsid w:val="00E1103B"/>
    <w:rsid w:val="00E1323F"/>
    <w:rsid w:val="00E14964"/>
    <w:rsid w:val="00E1644F"/>
    <w:rsid w:val="00E17B44"/>
    <w:rsid w:val="00E20F27"/>
    <w:rsid w:val="00E22443"/>
    <w:rsid w:val="00E25B1F"/>
    <w:rsid w:val="00E27FEA"/>
    <w:rsid w:val="00E35B07"/>
    <w:rsid w:val="00E37C62"/>
    <w:rsid w:val="00E4086F"/>
    <w:rsid w:val="00E41C21"/>
    <w:rsid w:val="00E43B3C"/>
    <w:rsid w:val="00E50188"/>
    <w:rsid w:val="00E50BB3"/>
    <w:rsid w:val="00E515CB"/>
    <w:rsid w:val="00E52260"/>
    <w:rsid w:val="00E538AE"/>
    <w:rsid w:val="00E639B6"/>
    <w:rsid w:val="00E6434B"/>
    <w:rsid w:val="00E6463D"/>
    <w:rsid w:val="00E71492"/>
    <w:rsid w:val="00E72E9B"/>
    <w:rsid w:val="00E76EC6"/>
    <w:rsid w:val="00E850C3"/>
    <w:rsid w:val="00E87DF2"/>
    <w:rsid w:val="00E90397"/>
    <w:rsid w:val="00E9205F"/>
    <w:rsid w:val="00E9462E"/>
    <w:rsid w:val="00EA470E"/>
    <w:rsid w:val="00EA47A7"/>
    <w:rsid w:val="00EA57EB"/>
    <w:rsid w:val="00EB0B2A"/>
    <w:rsid w:val="00EB3226"/>
    <w:rsid w:val="00EC213A"/>
    <w:rsid w:val="00EC3C23"/>
    <w:rsid w:val="00EC58CB"/>
    <w:rsid w:val="00EC7744"/>
    <w:rsid w:val="00ED0DAD"/>
    <w:rsid w:val="00ED0F46"/>
    <w:rsid w:val="00ED2373"/>
    <w:rsid w:val="00ED24F9"/>
    <w:rsid w:val="00ED2E38"/>
    <w:rsid w:val="00ED437A"/>
    <w:rsid w:val="00ED476B"/>
    <w:rsid w:val="00EE3E8A"/>
    <w:rsid w:val="00EE6E9E"/>
    <w:rsid w:val="00EF3B6C"/>
    <w:rsid w:val="00EF58B8"/>
    <w:rsid w:val="00EF6D86"/>
    <w:rsid w:val="00EF6ECA"/>
    <w:rsid w:val="00F024E1"/>
    <w:rsid w:val="00F04529"/>
    <w:rsid w:val="00F06C10"/>
    <w:rsid w:val="00F07F6E"/>
    <w:rsid w:val="00F1096F"/>
    <w:rsid w:val="00F12589"/>
    <w:rsid w:val="00F12595"/>
    <w:rsid w:val="00F134D9"/>
    <w:rsid w:val="00F1403D"/>
    <w:rsid w:val="00F1463F"/>
    <w:rsid w:val="00F21302"/>
    <w:rsid w:val="00F2430D"/>
    <w:rsid w:val="00F24D67"/>
    <w:rsid w:val="00F321DE"/>
    <w:rsid w:val="00F33777"/>
    <w:rsid w:val="00F40648"/>
    <w:rsid w:val="00F47DA2"/>
    <w:rsid w:val="00F51321"/>
    <w:rsid w:val="00F519FC"/>
    <w:rsid w:val="00F6239D"/>
    <w:rsid w:val="00F715D2"/>
    <w:rsid w:val="00F7274F"/>
    <w:rsid w:val="00F74CF2"/>
    <w:rsid w:val="00F74E84"/>
    <w:rsid w:val="00F7615B"/>
    <w:rsid w:val="00F76FA8"/>
    <w:rsid w:val="00F85AFE"/>
    <w:rsid w:val="00F8603C"/>
    <w:rsid w:val="00F8630F"/>
    <w:rsid w:val="00F93F08"/>
    <w:rsid w:val="00F94CED"/>
    <w:rsid w:val="00FA02BB"/>
    <w:rsid w:val="00FA2CEE"/>
    <w:rsid w:val="00FA318C"/>
    <w:rsid w:val="00FB0B6C"/>
    <w:rsid w:val="00FB2B34"/>
    <w:rsid w:val="00FB3661"/>
    <w:rsid w:val="00FB6452"/>
    <w:rsid w:val="00FB6F92"/>
    <w:rsid w:val="00FC026E"/>
    <w:rsid w:val="00FC0890"/>
    <w:rsid w:val="00FC5124"/>
    <w:rsid w:val="00FD0155"/>
    <w:rsid w:val="00FD4731"/>
    <w:rsid w:val="00FD6768"/>
    <w:rsid w:val="00FF0AB0"/>
    <w:rsid w:val="00FF28AC"/>
    <w:rsid w:val="00FF6D6F"/>
    <w:rsid w:val="00FF777D"/>
    <w:rsid w:val="00FF7F62"/>
    <w:rsid w:val="06D43151"/>
    <w:rsid w:val="1ECE4356"/>
    <w:rsid w:val="21C5C469"/>
    <w:rsid w:val="37A8CB26"/>
    <w:rsid w:val="4A00D388"/>
    <w:rsid w:val="4C939F46"/>
    <w:rsid w:val="6E351CC2"/>
    <w:rsid w:val="6E91DA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007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35838752">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taskforce-final-report-diagnostic-medicine-clinical-committee?language=en" TargetMode="External"/><Relationship Id="rId13" Type="http://schemas.openxmlformats.org/officeDocument/2006/relationships/hyperlink" Target="https://www.mbsonline.gov.au/internet/mbsonline/publishing.nsf/Content/Home" TargetMode="External"/><Relationship Id="rId18" Type="http://schemas.openxmlformats.org/officeDocument/2006/relationships/hyperlink" Target="mailto:askMBS@health.gov.a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egislation.gov.au" TargetMode="External"/><Relationship Id="rId7" Type="http://schemas.openxmlformats.org/officeDocument/2006/relationships/endnotes" Target="endnotes.xml"/><Relationship Id="rId12" Type="http://schemas.openxmlformats.org/officeDocument/2006/relationships/hyperlink" Target="https://www.rch.org.au/immigranthealth/clinical/Vitamin_B12/" TargetMode="External"/><Relationship Id="rId17" Type="http://schemas.openxmlformats.org/officeDocument/2006/relationships/hyperlink" Target="https://www9.health.gov.au/mbs/subscribe.cf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bsonline.gov.au/" TargetMode="External"/><Relationship Id="rId20" Type="http://schemas.openxmlformats.org/officeDocument/2006/relationships/hyperlink" Target="https://www.health.gov.au/topics/private-health-insurance/private-health-insurance-refor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239" TargetMode="External"/><Relationship Id="rId24" Type="http://schemas.openxmlformats.org/officeDocument/2006/relationships/hyperlink" Target="https://www.mbsonline.gov.au/internet/mbsonline/publishing.nsf/Content/downloads" TargetMode="External"/><Relationship Id="rId5" Type="http://schemas.openxmlformats.org/officeDocument/2006/relationships/webSettings" Target="webSettings.xml"/><Relationship Id="rId15" Type="http://schemas.openxmlformats.org/officeDocument/2006/relationships/hyperlink" Target="https://www.health.gov.au/topics/medicare/compliance" TargetMode="External"/><Relationship Id="rId23" Type="http://schemas.openxmlformats.org/officeDocument/2006/relationships/hyperlink" Target="https://www.servicesaustralia.gov.au/organisations/health-professionals/news/all" TargetMode="External"/><Relationship Id="rId28" Type="http://schemas.openxmlformats.org/officeDocument/2006/relationships/fontTable" Target="fontTable.xml"/><Relationship Id="rId10" Type="http://schemas.openxmlformats.org/officeDocument/2006/relationships/hyperlink" Target="https://www.health.gov.au/" TargetMode="External"/><Relationship Id="rId19" Type="http://schemas.openxmlformats.org/officeDocument/2006/relationships/hyperlink" Target="https://www.privatehealth.gov.au/health_insurance/phichanges/index.htm" TargetMode="External"/><Relationship Id="rId4" Type="http://schemas.openxmlformats.org/officeDocument/2006/relationships/settings" Target="settings.xml"/><Relationship Id="rId9" Type="http://schemas.openxmlformats.org/officeDocument/2006/relationships/hyperlink" Target="https://www.health.gov.au/our-work/mbs-review?language=en" TargetMode="External"/><Relationship Id="rId14" Type="http://schemas.openxmlformats.org/officeDocument/2006/relationships/hyperlink" Target="https://www.legislation.gov.au/Series/F2017L01291" TargetMode="External"/><Relationship Id="rId22" Type="http://schemas.openxmlformats.org/officeDocument/2006/relationships/hyperlink" Target="mailto:PHI@health.gov.au"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1617</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2025-06-04T05:01:00Z</dcterms:created>
  <dcterms:modified xsi:type="dcterms:W3CDTF">2025-06-04T05:01:00Z</dcterms:modified>
</cp:coreProperties>
</file>