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A36F8" w14:textId="77777777" w:rsidR="00E65F67" w:rsidRPr="00264239" w:rsidRDefault="00E65F67" w:rsidP="00E65F67">
      <w:pPr>
        <w:pStyle w:val="Title"/>
        <w:rPr>
          <w:rFonts w:cs="Arial"/>
        </w:rPr>
      </w:pPr>
      <w:bookmarkStart w:id="0" w:name="_Hlk4568006"/>
      <w:r w:rsidRPr="00264239">
        <w:rPr>
          <w:rFonts w:cs="Arial"/>
        </w:rPr>
        <w:t xml:space="preserve">Specialist MBS Telehealth (video and phone) Services – out-of-hospital attendances  </w:t>
      </w:r>
    </w:p>
    <w:p w14:paraId="6EFD4B5B" w14:textId="1A4A8A25" w:rsidR="00064168" w:rsidRPr="00FD5A44" w:rsidRDefault="00064168" w:rsidP="006F5073">
      <w:pPr>
        <w:rPr>
          <w:rFonts w:cs="Arial"/>
          <w:sz w:val="24"/>
        </w:rPr>
      </w:pPr>
      <w:r w:rsidRPr="00FD5A44">
        <w:rPr>
          <w:rFonts w:cs="Arial"/>
          <w:sz w:val="24"/>
        </w:rPr>
        <w:t xml:space="preserve">Last updated: </w:t>
      </w:r>
      <w:r w:rsidR="002A61BB">
        <w:rPr>
          <w:rFonts w:cs="Arial"/>
          <w:sz w:val="24"/>
        </w:rPr>
        <w:t>13</w:t>
      </w:r>
      <w:r w:rsidR="002A61BB" w:rsidRPr="00FD5A44">
        <w:rPr>
          <w:rFonts w:cs="Arial"/>
          <w:sz w:val="24"/>
        </w:rPr>
        <w:t xml:space="preserve"> </w:t>
      </w:r>
      <w:r w:rsidR="002A61BB">
        <w:rPr>
          <w:rFonts w:cs="Arial"/>
          <w:sz w:val="24"/>
        </w:rPr>
        <w:t>October</w:t>
      </w:r>
      <w:r w:rsidR="00E416BD" w:rsidRPr="00FD5A44">
        <w:rPr>
          <w:rFonts w:cs="Arial"/>
          <w:sz w:val="24"/>
        </w:rPr>
        <w:t xml:space="preserve"> 2025</w:t>
      </w:r>
    </w:p>
    <w:bookmarkEnd w:id="0"/>
    <w:p w14:paraId="1EF30F3D" w14:textId="77777777" w:rsidR="007D241F" w:rsidRPr="00FD5A44" w:rsidRDefault="007D241F" w:rsidP="007D241F">
      <w:pPr>
        <w:pStyle w:val="ListBullet"/>
        <w:spacing w:after="120"/>
        <w:rPr>
          <w:rFonts w:cs="Arial"/>
          <w:sz w:val="24"/>
          <w:szCs w:val="24"/>
        </w:rPr>
      </w:pPr>
      <w:r w:rsidRPr="00FD5A44">
        <w:rPr>
          <w:rFonts w:cs="Arial"/>
          <w:sz w:val="24"/>
          <w:szCs w:val="24"/>
        </w:rPr>
        <w:t xml:space="preserve">MBS specialist telehealth services provide access to a range of non-GP specialist, consultant physician and approved dental practitioner consultations. </w:t>
      </w:r>
    </w:p>
    <w:p w14:paraId="6D9C5BF1" w14:textId="77777777" w:rsidR="007D241F" w:rsidRPr="00FD5A44" w:rsidRDefault="007D241F" w:rsidP="007D241F">
      <w:pPr>
        <w:pStyle w:val="ListBullet"/>
        <w:rPr>
          <w:rFonts w:cs="Arial"/>
          <w:sz w:val="24"/>
          <w:szCs w:val="24"/>
        </w:rPr>
      </w:pPr>
      <w:bookmarkStart w:id="1" w:name="_Hlk188891893"/>
      <w:r w:rsidRPr="00FD5A44">
        <w:rPr>
          <w:rFonts w:cs="Arial"/>
          <w:sz w:val="24"/>
          <w:szCs w:val="24"/>
        </w:rPr>
        <w:t>A service may only be provided by telehealth where it is safe and clinically appropriate to do so.</w:t>
      </w:r>
    </w:p>
    <w:bookmarkEnd w:id="1"/>
    <w:p w14:paraId="22802304" w14:textId="64744B8F" w:rsidR="007D241F" w:rsidRPr="00FD5A44" w:rsidRDefault="007D241F" w:rsidP="007D241F">
      <w:pPr>
        <w:pStyle w:val="ListBullet"/>
        <w:rPr>
          <w:rFonts w:cs="Arial"/>
          <w:sz w:val="24"/>
          <w:szCs w:val="24"/>
        </w:rPr>
      </w:pPr>
      <w:r w:rsidRPr="00FD5A44">
        <w:rPr>
          <w:rFonts w:cs="Arial"/>
          <w:sz w:val="24"/>
          <w:szCs w:val="24"/>
        </w:rPr>
        <w:t xml:space="preserve">Items mentioned in this </w:t>
      </w:r>
      <w:r w:rsidR="00C013EF">
        <w:rPr>
          <w:rFonts w:cs="Arial"/>
          <w:sz w:val="24"/>
          <w:szCs w:val="24"/>
        </w:rPr>
        <w:t>S</w:t>
      </w:r>
      <w:r w:rsidRPr="00FD5A44">
        <w:rPr>
          <w:rFonts w:cs="Arial"/>
          <w:sz w:val="24"/>
          <w:szCs w:val="24"/>
        </w:rPr>
        <w:t xml:space="preserve">pecialist MBS </w:t>
      </w:r>
      <w:r w:rsidR="00C013EF">
        <w:rPr>
          <w:rFonts w:cs="Arial"/>
          <w:sz w:val="24"/>
          <w:szCs w:val="24"/>
        </w:rPr>
        <w:t>T</w:t>
      </w:r>
      <w:r w:rsidRPr="00FD5A44">
        <w:rPr>
          <w:rFonts w:cs="Arial"/>
          <w:sz w:val="24"/>
          <w:szCs w:val="24"/>
        </w:rPr>
        <w:t xml:space="preserve">elehealth </w:t>
      </w:r>
      <w:r w:rsidR="00C013EF">
        <w:rPr>
          <w:rFonts w:cs="Arial"/>
          <w:sz w:val="24"/>
          <w:szCs w:val="24"/>
        </w:rPr>
        <w:t>F</w:t>
      </w:r>
      <w:r w:rsidRPr="00FD5A44">
        <w:rPr>
          <w:rFonts w:cs="Arial"/>
          <w:sz w:val="24"/>
          <w:szCs w:val="24"/>
        </w:rPr>
        <w:t>actsheet are for out-of-hospital patients. For inpatient items please see Inpatient Telehealth Psychiatry Services Factsheet</w:t>
      </w:r>
      <w:r w:rsidR="00A61F46">
        <w:rPr>
          <w:rFonts w:cs="Arial"/>
          <w:sz w:val="24"/>
          <w:szCs w:val="24"/>
        </w:rPr>
        <w:t xml:space="preserve"> on </w:t>
      </w:r>
      <w:hyperlink r:id="rId8" w:history="1">
        <w:r w:rsidR="00A61F46" w:rsidRPr="00A61F46">
          <w:rPr>
            <w:rStyle w:val="Hyperlink"/>
            <w:rFonts w:cs="Arial"/>
            <w:sz w:val="24"/>
            <w:szCs w:val="24"/>
          </w:rPr>
          <w:t>MBS Online - MBS Telehealth Services</w:t>
        </w:r>
      </w:hyperlink>
      <w:r w:rsidRPr="00FD5A44">
        <w:rPr>
          <w:rFonts w:cs="Arial"/>
          <w:sz w:val="24"/>
          <w:szCs w:val="24"/>
        </w:rPr>
        <w:t xml:space="preserve">. </w:t>
      </w:r>
    </w:p>
    <w:p w14:paraId="3DD149DB" w14:textId="51BE3115" w:rsidR="007D241F" w:rsidRDefault="007D241F" w:rsidP="5B52DE42">
      <w:pPr>
        <w:pStyle w:val="ListBullet"/>
        <w:rPr>
          <w:rFonts w:cs="Arial"/>
          <w:sz w:val="24"/>
          <w:szCs w:val="24"/>
        </w:rPr>
      </w:pPr>
      <w:r w:rsidRPr="5B52DE42">
        <w:rPr>
          <w:rFonts w:cs="Arial"/>
          <w:sz w:val="24"/>
          <w:szCs w:val="24"/>
        </w:rPr>
        <w:t>Providers are expected to obtain informed financial consent from patients prior to providing the service by providing details regarding their fees, including any out-of-pocket costs.</w:t>
      </w:r>
    </w:p>
    <w:p w14:paraId="44460BF5" w14:textId="29A2ED51" w:rsidR="00064168" w:rsidRPr="00264239" w:rsidRDefault="00064168" w:rsidP="00064168">
      <w:pPr>
        <w:pStyle w:val="Heading2"/>
      </w:pPr>
      <w:r w:rsidRPr="00264239">
        <w:t>What are the changes?</w:t>
      </w:r>
    </w:p>
    <w:p w14:paraId="78FED2C8" w14:textId="47FDAC62" w:rsidR="00A2792C" w:rsidRPr="00FD5A44" w:rsidRDefault="00E10CC3" w:rsidP="5B52DE42">
      <w:pPr>
        <w:rPr>
          <w:rFonts w:cs="Arial"/>
          <w:sz w:val="24"/>
        </w:rPr>
      </w:pPr>
      <w:r w:rsidRPr="5B52DE42">
        <w:rPr>
          <w:rFonts w:cs="Arial"/>
          <w:sz w:val="24"/>
        </w:rPr>
        <w:t>From</w:t>
      </w:r>
      <w:r w:rsidR="00A2792C" w:rsidRPr="5B52DE42">
        <w:rPr>
          <w:rFonts w:cs="Arial"/>
          <w:sz w:val="24"/>
        </w:rPr>
        <w:t xml:space="preserve"> 1 November 2025, </w:t>
      </w:r>
      <w:r w:rsidR="08026561" w:rsidRPr="5B52DE42">
        <w:rPr>
          <w:rFonts w:cs="Arial"/>
          <w:sz w:val="24"/>
        </w:rPr>
        <w:t xml:space="preserve">nine </w:t>
      </w:r>
      <w:r w:rsidR="00A2792C" w:rsidRPr="5B52DE42">
        <w:rPr>
          <w:rFonts w:cs="Arial"/>
          <w:sz w:val="24"/>
        </w:rPr>
        <w:t>new subsequent phone items will be introduced for specialist</w:t>
      </w:r>
      <w:r w:rsidR="00516E97" w:rsidRPr="5B52DE42">
        <w:rPr>
          <w:rFonts w:cs="Arial"/>
          <w:sz w:val="24"/>
        </w:rPr>
        <w:t>s</w:t>
      </w:r>
      <w:r w:rsidR="00A2792C" w:rsidRPr="5B52DE42">
        <w:rPr>
          <w:rFonts w:cs="Arial"/>
          <w:sz w:val="24"/>
        </w:rPr>
        <w:t xml:space="preserve"> and consultant physicians (92440, 92441, 92442, 92443, 92444, 92445, 92446, 92447 and 92448). These </w:t>
      </w:r>
      <w:r w:rsidR="00516E97" w:rsidRPr="5B52DE42">
        <w:rPr>
          <w:rFonts w:cs="Arial"/>
          <w:sz w:val="24"/>
        </w:rPr>
        <w:t xml:space="preserve">items have the same clinical requirements as equivalent in-person (face-to-face) and </w:t>
      </w:r>
      <w:r w:rsidR="00A2792C" w:rsidRPr="5B52DE42">
        <w:rPr>
          <w:rFonts w:cs="Arial"/>
          <w:sz w:val="24"/>
        </w:rPr>
        <w:t xml:space="preserve">video </w:t>
      </w:r>
      <w:r w:rsidR="00516E97" w:rsidRPr="5B52DE42">
        <w:rPr>
          <w:rFonts w:cs="Arial"/>
          <w:sz w:val="24"/>
        </w:rPr>
        <w:t xml:space="preserve">items </w:t>
      </w:r>
      <w:r w:rsidRPr="5B52DE42">
        <w:rPr>
          <w:rFonts w:cs="Arial"/>
          <w:sz w:val="24"/>
        </w:rPr>
        <w:t>(</w:t>
      </w:r>
      <w:r w:rsidR="0040504C" w:rsidRPr="5B52DE42">
        <w:rPr>
          <w:rFonts w:cs="Arial"/>
          <w:sz w:val="24"/>
        </w:rPr>
        <w:t>see tables below for descriptions</w:t>
      </w:r>
      <w:r w:rsidRPr="5B52DE42">
        <w:rPr>
          <w:rFonts w:cs="Arial"/>
          <w:sz w:val="24"/>
        </w:rPr>
        <w:t>)</w:t>
      </w:r>
      <w:r w:rsidR="00A2792C" w:rsidRPr="5B52DE42">
        <w:rPr>
          <w:rFonts w:cs="Arial"/>
          <w:sz w:val="24"/>
        </w:rPr>
        <w:t xml:space="preserve">.  </w:t>
      </w:r>
    </w:p>
    <w:p w14:paraId="42BD5171" w14:textId="77777777" w:rsidR="00064168" w:rsidRPr="00264239" w:rsidRDefault="00064168" w:rsidP="00064168">
      <w:pPr>
        <w:pStyle w:val="Heading2"/>
      </w:pPr>
      <w:r w:rsidRPr="00264239">
        <w:t>Why are the changes being made?</w:t>
      </w:r>
    </w:p>
    <w:p w14:paraId="556DD38E" w14:textId="5145BFFC" w:rsidR="00D82F6D" w:rsidRPr="00085A3A" w:rsidRDefault="00E10CC3" w:rsidP="00D82F6D">
      <w:bookmarkStart w:id="2" w:name="_Hlk535386664"/>
      <w:r w:rsidRPr="005D5342">
        <w:rPr>
          <w:color w:val="auto"/>
          <w:sz w:val="24"/>
        </w:rPr>
        <w:t xml:space="preserve">The introduction of </w:t>
      </w:r>
      <w:r w:rsidR="29BFC3F6" w:rsidRPr="005D5342">
        <w:rPr>
          <w:color w:val="auto"/>
          <w:sz w:val="24"/>
        </w:rPr>
        <w:t>nine</w:t>
      </w:r>
      <w:r w:rsidRPr="005D5342">
        <w:rPr>
          <w:color w:val="auto"/>
          <w:sz w:val="24"/>
        </w:rPr>
        <w:t xml:space="preserve"> new subsequent phone items respond</w:t>
      </w:r>
      <w:r w:rsidR="00516E97" w:rsidRPr="005D5342">
        <w:rPr>
          <w:color w:val="auto"/>
          <w:sz w:val="24"/>
        </w:rPr>
        <w:t>s</w:t>
      </w:r>
      <w:r w:rsidRPr="005D5342">
        <w:rPr>
          <w:color w:val="auto"/>
          <w:sz w:val="24"/>
        </w:rPr>
        <w:t xml:space="preserve"> to a </w:t>
      </w:r>
      <w:r w:rsidR="00256626" w:rsidRPr="005D5342">
        <w:rPr>
          <w:color w:val="auto"/>
          <w:sz w:val="24"/>
        </w:rPr>
        <w:t>recommendation</w:t>
      </w:r>
      <w:r w:rsidR="001C090E" w:rsidRPr="005D5342">
        <w:rPr>
          <w:color w:val="auto"/>
          <w:sz w:val="24"/>
        </w:rPr>
        <w:t xml:space="preserve"> of the Medicare Benefit</w:t>
      </w:r>
      <w:r w:rsidRPr="005D5342">
        <w:rPr>
          <w:color w:val="auto"/>
          <w:sz w:val="24"/>
        </w:rPr>
        <w:t>s</w:t>
      </w:r>
      <w:r w:rsidR="001C090E" w:rsidRPr="005D5342">
        <w:rPr>
          <w:color w:val="auto"/>
          <w:sz w:val="24"/>
        </w:rPr>
        <w:t xml:space="preserve"> Schedule (MBS) Review Advisory </w:t>
      </w:r>
      <w:r w:rsidR="006D5E66" w:rsidRPr="005D5342">
        <w:rPr>
          <w:color w:val="auto"/>
          <w:sz w:val="24"/>
        </w:rPr>
        <w:t>committee (MRAC)</w:t>
      </w:r>
      <w:r w:rsidR="001C090E" w:rsidRPr="005D5342">
        <w:rPr>
          <w:color w:val="auto"/>
          <w:sz w:val="24"/>
        </w:rPr>
        <w:t xml:space="preserve"> post</w:t>
      </w:r>
      <w:r w:rsidRPr="005D5342">
        <w:rPr>
          <w:color w:val="auto"/>
          <w:sz w:val="24"/>
        </w:rPr>
        <w:t xml:space="preserve"> </w:t>
      </w:r>
      <w:r w:rsidR="001C090E" w:rsidRPr="005D5342">
        <w:rPr>
          <w:color w:val="auto"/>
          <w:sz w:val="24"/>
        </w:rPr>
        <w:t xml:space="preserve">implementation review of MBS telehealth. The </w:t>
      </w:r>
      <w:r w:rsidR="006D5E66" w:rsidRPr="005D5342">
        <w:rPr>
          <w:color w:val="auto"/>
          <w:sz w:val="24"/>
        </w:rPr>
        <w:t xml:space="preserve">MRAC </w:t>
      </w:r>
      <w:r w:rsidR="001C090E" w:rsidRPr="005D5342">
        <w:rPr>
          <w:color w:val="auto"/>
          <w:sz w:val="24"/>
        </w:rPr>
        <w:t xml:space="preserve">– Telehealth Post-Implementation Review – Final report is available on the </w:t>
      </w:r>
      <w:hyperlink r:id="rId9" w:history="1">
        <w:r w:rsidR="001C090E" w:rsidRPr="005D5342">
          <w:rPr>
            <w:color w:val="auto"/>
            <w:sz w:val="24"/>
            <w:u w:val="single"/>
          </w:rPr>
          <w:t>Department of Health</w:t>
        </w:r>
        <w:r w:rsidR="00CF6942" w:rsidRPr="005D5342">
          <w:rPr>
            <w:color w:val="auto"/>
            <w:sz w:val="24"/>
            <w:u w:val="single"/>
          </w:rPr>
          <w:t>, Disability</w:t>
        </w:r>
        <w:r w:rsidR="001C090E" w:rsidRPr="005D5342">
          <w:rPr>
            <w:color w:val="auto"/>
            <w:sz w:val="24"/>
            <w:u w:val="single"/>
          </w:rPr>
          <w:t xml:space="preserve"> and Ag</w:t>
        </w:r>
        <w:r w:rsidR="00CF6942" w:rsidRPr="005D5342">
          <w:rPr>
            <w:color w:val="auto"/>
            <w:sz w:val="24"/>
            <w:u w:val="single"/>
          </w:rPr>
          <w:t>eing</w:t>
        </w:r>
        <w:r w:rsidR="001C090E" w:rsidRPr="005D5342">
          <w:rPr>
            <w:color w:val="auto"/>
            <w:sz w:val="24"/>
            <w:u w:val="single"/>
          </w:rPr>
          <w:t xml:space="preserve"> </w:t>
        </w:r>
        <w:r w:rsidR="00997578" w:rsidRPr="005D5342">
          <w:rPr>
            <w:color w:val="auto"/>
            <w:sz w:val="24"/>
            <w:u w:val="single"/>
          </w:rPr>
          <w:t xml:space="preserve">(the </w:t>
        </w:r>
        <w:r w:rsidR="00B73D00">
          <w:rPr>
            <w:color w:val="auto"/>
            <w:sz w:val="24"/>
            <w:u w:val="single"/>
          </w:rPr>
          <w:t>d</w:t>
        </w:r>
        <w:r w:rsidR="00997578" w:rsidRPr="005D5342">
          <w:rPr>
            <w:color w:val="auto"/>
            <w:sz w:val="24"/>
            <w:u w:val="single"/>
          </w:rPr>
          <w:t xml:space="preserve">epartment) </w:t>
        </w:r>
        <w:r w:rsidR="001C090E" w:rsidRPr="005D5342">
          <w:rPr>
            <w:color w:val="auto"/>
            <w:sz w:val="24"/>
            <w:u w:val="single"/>
          </w:rPr>
          <w:t>website</w:t>
        </w:r>
      </w:hyperlink>
      <w:r w:rsidR="00726D54" w:rsidRPr="005D5342">
        <w:rPr>
          <w:color w:val="auto"/>
          <w:sz w:val="24"/>
        </w:rPr>
        <w:t>.</w:t>
      </w:r>
      <w:r w:rsidR="001C090E" w:rsidRPr="005D5342">
        <w:rPr>
          <w:color w:val="auto"/>
          <w:sz w:val="24"/>
        </w:rPr>
        <w:t xml:space="preserve"> </w:t>
      </w:r>
      <w:bookmarkEnd w:id="2"/>
    </w:p>
    <w:p w14:paraId="2DE3796D" w14:textId="77777777" w:rsidR="00BE5E9B" w:rsidRPr="006340D5" w:rsidRDefault="00BE5E9B" w:rsidP="00BE5E9B">
      <w:pPr>
        <w:pStyle w:val="Heading2"/>
      </w:pPr>
      <w:r w:rsidRPr="006340D5">
        <w:t>Information for providers</w:t>
      </w:r>
    </w:p>
    <w:p w14:paraId="1EDB66A6" w14:textId="031EAD5B" w:rsidR="00606BFA" w:rsidRPr="00FD5A44" w:rsidRDefault="00606BFA" w:rsidP="00606BFA">
      <w:pPr>
        <w:rPr>
          <w:rFonts w:cs="Arial"/>
          <w:sz w:val="24"/>
        </w:rPr>
      </w:pPr>
      <w:r w:rsidRPr="00FD5A44">
        <w:rPr>
          <w:rFonts w:cs="Arial"/>
          <w:sz w:val="24"/>
        </w:rPr>
        <w:t xml:space="preserve">MBS telehealth items allow providers to continue to provide essential services to patients within their care. </w:t>
      </w:r>
    </w:p>
    <w:p w14:paraId="61FDB8EE" w14:textId="61099E0A" w:rsidR="00606BFA" w:rsidRPr="00FD5A44" w:rsidRDefault="00606BFA" w:rsidP="5B52DE42">
      <w:pPr>
        <w:rPr>
          <w:rFonts w:cs="Arial"/>
          <w:sz w:val="24"/>
        </w:rPr>
      </w:pPr>
      <w:bookmarkStart w:id="3" w:name="_Hlk188875038"/>
      <w:r w:rsidRPr="5B52DE42">
        <w:rPr>
          <w:rFonts w:cs="Arial"/>
          <w:sz w:val="24"/>
        </w:rPr>
        <w:t>Providers do not need to be in their regular practice to provide telehealth services. Providers should use their provider number relevant to the appropriate practice and must provide safe services in accordance with normal professional standards.</w:t>
      </w:r>
      <w:r w:rsidR="007D6CBA">
        <w:rPr>
          <w:rFonts w:cs="Arial"/>
          <w:sz w:val="24"/>
        </w:rPr>
        <w:t xml:space="preserve"> </w:t>
      </w:r>
      <w:r w:rsidR="007D6CBA" w:rsidRPr="00DB214A">
        <w:rPr>
          <w:rFonts w:cs="Arial"/>
          <w:sz w:val="24"/>
        </w:rPr>
        <w:t xml:space="preserve">For an </w:t>
      </w:r>
      <w:r w:rsidR="007D6CBA" w:rsidRPr="00DB214A">
        <w:rPr>
          <w:rFonts w:cs="Arial"/>
          <w:sz w:val="24"/>
        </w:rPr>
        <w:lastRenderedPageBreak/>
        <w:t xml:space="preserve">MBS </w:t>
      </w:r>
      <w:r w:rsidR="00CC0CD6">
        <w:rPr>
          <w:rFonts w:cs="Arial"/>
          <w:sz w:val="24"/>
        </w:rPr>
        <w:t>benefit</w:t>
      </w:r>
      <w:r w:rsidR="007D6CBA" w:rsidRPr="00DB214A">
        <w:rPr>
          <w:rFonts w:cs="Arial"/>
          <w:sz w:val="24"/>
        </w:rPr>
        <w:t xml:space="preserve"> to be valid both the provider and patient must be in Australia at the time of </w:t>
      </w:r>
      <w:r w:rsidR="000E4098">
        <w:rPr>
          <w:rFonts w:cs="Arial"/>
          <w:sz w:val="24"/>
        </w:rPr>
        <w:t xml:space="preserve">the </w:t>
      </w:r>
      <w:r w:rsidR="007D6CBA" w:rsidRPr="00DB214A">
        <w:rPr>
          <w:rFonts w:cs="Arial"/>
          <w:sz w:val="24"/>
        </w:rPr>
        <w:t>service.</w:t>
      </w:r>
    </w:p>
    <w:p w14:paraId="5DAC7F5D" w14:textId="77777777" w:rsidR="00606BFA" w:rsidRPr="00FD5A44" w:rsidRDefault="00606BFA" w:rsidP="00606BFA">
      <w:pPr>
        <w:rPr>
          <w:rFonts w:cs="Arial"/>
          <w:sz w:val="24"/>
        </w:rPr>
      </w:pPr>
      <w:r w:rsidRPr="00FD5A44">
        <w:rPr>
          <w:rFonts w:cs="Arial"/>
          <w:sz w:val="24"/>
        </w:rPr>
        <w:t>MBS telehealth items can substitute for equivalent face-to-face consultations where it’s clinically appropriate and safe to do so; these items have the same clinical requirements as the corresponding face-to-face consultation items</w:t>
      </w:r>
      <w:bookmarkEnd w:id="3"/>
      <w:r w:rsidRPr="00FD5A44">
        <w:rPr>
          <w:rFonts w:cs="Arial"/>
          <w:sz w:val="24"/>
        </w:rPr>
        <w:t>.</w:t>
      </w:r>
    </w:p>
    <w:p w14:paraId="3D9F0B1F" w14:textId="3F0D28F5" w:rsidR="00606BFA" w:rsidRDefault="00606BFA" w:rsidP="00606BFA">
      <w:pPr>
        <w:rPr>
          <w:rFonts w:cs="Arial"/>
          <w:sz w:val="24"/>
        </w:rPr>
      </w:pPr>
      <w:r w:rsidRPr="00FD5A44">
        <w:rPr>
          <w:rFonts w:cs="Arial"/>
          <w:sz w:val="24"/>
        </w:rPr>
        <w:t xml:space="preserve">All MBS items for specialist (non-GP) services require a valid referral to the relevant specialist or approved dental practitioner. For more information see </w:t>
      </w:r>
      <w:hyperlink r:id="rId10" w:history="1">
        <w:r w:rsidRPr="00FD5A44">
          <w:rPr>
            <w:rStyle w:val="Hyperlink"/>
            <w:rFonts w:cs="Arial"/>
            <w:sz w:val="24"/>
          </w:rPr>
          <w:t>AskMBS Advisory – Non-GP specialist and consultant physician services | Australian Government Department of Health and Aged Care</w:t>
        </w:r>
      </w:hyperlink>
      <w:r w:rsidR="00997578">
        <w:rPr>
          <w:rFonts w:cs="Arial"/>
          <w:sz w:val="24"/>
        </w:rPr>
        <w:t>.</w:t>
      </w:r>
    </w:p>
    <w:p w14:paraId="66CB1508" w14:textId="36CBD8A5" w:rsidR="00BA4844" w:rsidRPr="002E3934" w:rsidRDefault="00BA4844" w:rsidP="00606BFA">
      <w:pPr>
        <w:rPr>
          <w:rFonts w:cs="Arial"/>
          <w:sz w:val="24"/>
        </w:rPr>
      </w:pPr>
      <w:r w:rsidRPr="002E3934">
        <w:rPr>
          <w:rFonts w:cs="Arial"/>
          <w:sz w:val="24"/>
        </w:rPr>
        <w:t xml:space="preserve">Telehealth services listed in the </w:t>
      </w:r>
      <w:hyperlink r:id="rId11" w:history="1">
        <w:r w:rsidRPr="006259A0">
          <w:rPr>
            <w:rFonts w:cs="Arial"/>
            <w:i/>
            <w:iCs/>
            <w:sz w:val="24"/>
          </w:rPr>
          <w:t>Health Insurance (Professional Services Review Scheme) Regulations 2019</w:t>
        </w:r>
        <w:r w:rsidRPr="002E3934">
          <w:rPr>
            <w:rFonts w:cs="Arial"/>
            <w:sz w:val="24"/>
          </w:rPr>
          <w:t xml:space="preserve"> </w:t>
        </w:r>
      </w:hyperlink>
      <w:r w:rsidRPr="002E3934">
        <w:rPr>
          <w:rFonts w:cs="Arial"/>
          <w:sz w:val="24"/>
        </w:rPr>
        <w:t xml:space="preserve">are included in the ‘prescribed patterns of service rule’. Any medical practitioner who provides more than a combined 30 services per day on 20 or more days in a 12-month period (cumulative not consecutive) will be referred to the Professional Services Review (PSR). </w:t>
      </w:r>
    </w:p>
    <w:p w14:paraId="197A732A" w14:textId="77777777" w:rsidR="00606BFA" w:rsidRPr="00FD5A44" w:rsidRDefault="00606BFA" w:rsidP="00606BFA">
      <w:pPr>
        <w:spacing w:before="240"/>
        <w:rPr>
          <w:rFonts w:cs="Arial"/>
          <w:sz w:val="24"/>
        </w:rPr>
      </w:pPr>
      <w:r w:rsidRPr="00FD5A44">
        <w:rPr>
          <w:rFonts w:cs="Arial"/>
          <w:sz w:val="24"/>
        </w:rPr>
        <w:t>Providers are encouraged to stay up to date with changes to these telehealth services, and additional information will be made available ahead of future MBS updates.</w:t>
      </w:r>
    </w:p>
    <w:p w14:paraId="15FE4946" w14:textId="77777777" w:rsidR="00BE5E9B" w:rsidRPr="00264239" w:rsidRDefault="00BE5E9B" w:rsidP="00BE5E9B">
      <w:pPr>
        <w:pStyle w:val="Heading2"/>
      </w:pPr>
      <w:r w:rsidRPr="00264239">
        <w:t>Information for patients</w:t>
      </w:r>
    </w:p>
    <w:p w14:paraId="1D32B685" w14:textId="4E941A55" w:rsidR="00DC512C" w:rsidRPr="00FD5A44" w:rsidRDefault="00DC512C" w:rsidP="5B52DE42">
      <w:pPr>
        <w:rPr>
          <w:rFonts w:cs="Arial"/>
          <w:sz w:val="24"/>
        </w:rPr>
      </w:pPr>
      <w:bookmarkStart w:id="4" w:name="_Hlk188883092"/>
      <w:r w:rsidRPr="5B52DE42">
        <w:rPr>
          <w:rFonts w:cs="Arial"/>
          <w:sz w:val="24"/>
        </w:rPr>
        <w:t xml:space="preserve">Patients should ask their service providers about telehealth options that may be available where clinically appropriate. </w:t>
      </w:r>
    </w:p>
    <w:bookmarkEnd w:id="4"/>
    <w:p w14:paraId="52D31C04" w14:textId="77777777" w:rsidR="00BE5E9B" w:rsidRPr="00264239" w:rsidRDefault="00BE5E9B" w:rsidP="00BE5E9B">
      <w:pPr>
        <w:pStyle w:val="Heading2"/>
      </w:pPr>
      <w:r w:rsidRPr="00264239">
        <w:t>Who was consulted on the changes?</w:t>
      </w:r>
    </w:p>
    <w:p w14:paraId="1A0EBF60" w14:textId="2074C2C0" w:rsidR="0009214D" w:rsidRPr="00FD5A44" w:rsidRDefault="0009214D" w:rsidP="5B52DE42">
      <w:pPr>
        <w:rPr>
          <w:rFonts w:cs="Arial"/>
          <w:b/>
          <w:bCs/>
          <w:sz w:val="24"/>
        </w:rPr>
      </w:pPr>
      <w:bookmarkStart w:id="5" w:name="_Hlk188893527"/>
      <w:r w:rsidRPr="5B52DE42">
        <w:rPr>
          <w:rFonts w:cs="Arial"/>
          <w:sz w:val="24"/>
        </w:rPr>
        <w:t>The</w:t>
      </w:r>
      <w:r w:rsidR="007F32B4" w:rsidRPr="5B52DE42">
        <w:rPr>
          <w:rFonts w:cs="Arial"/>
          <w:sz w:val="24"/>
        </w:rPr>
        <w:t xml:space="preserve"> introduction of </w:t>
      </w:r>
      <w:r w:rsidR="08283683" w:rsidRPr="5B52DE42">
        <w:rPr>
          <w:rFonts w:cs="Arial"/>
          <w:sz w:val="24"/>
        </w:rPr>
        <w:t>nine</w:t>
      </w:r>
      <w:r w:rsidR="007F32B4" w:rsidRPr="5B52DE42">
        <w:rPr>
          <w:rFonts w:cs="Arial"/>
          <w:sz w:val="24"/>
        </w:rPr>
        <w:t xml:space="preserve"> new subsequent phone items</w:t>
      </w:r>
      <w:r w:rsidRPr="5B52DE42">
        <w:rPr>
          <w:rFonts w:cs="Arial"/>
          <w:sz w:val="24"/>
        </w:rPr>
        <w:t xml:space="preserve"> </w:t>
      </w:r>
      <w:r w:rsidR="001932AA" w:rsidRPr="5B52DE42">
        <w:rPr>
          <w:rFonts w:cs="Arial"/>
          <w:sz w:val="24"/>
        </w:rPr>
        <w:t xml:space="preserve">was informed by stakeholder consultation through the </w:t>
      </w:r>
      <w:r w:rsidRPr="5B52DE42">
        <w:rPr>
          <w:rFonts w:cs="Arial"/>
          <w:sz w:val="24"/>
        </w:rPr>
        <w:t>MRAC</w:t>
      </w:r>
      <w:r w:rsidR="004C44A1" w:rsidRPr="5B52DE42">
        <w:rPr>
          <w:rFonts w:cs="Arial"/>
          <w:sz w:val="24"/>
        </w:rPr>
        <w:t>’s</w:t>
      </w:r>
      <w:r w:rsidRPr="5B52DE42">
        <w:rPr>
          <w:rFonts w:cs="Arial"/>
          <w:sz w:val="24"/>
        </w:rPr>
        <w:t xml:space="preserve"> Post Implementation Review of </w:t>
      </w:r>
      <w:r w:rsidR="004C44A1" w:rsidRPr="5B52DE42">
        <w:rPr>
          <w:rFonts w:cs="Arial"/>
          <w:sz w:val="24"/>
        </w:rPr>
        <w:t xml:space="preserve">MBS </w:t>
      </w:r>
      <w:r w:rsidRPr="5B52DE42">
        <w:rPr>
          <w:rFonts w:cs="Arial"/>
          <w:sz w:val="24"/>
        </w:rPr>
        <w:t>Telehealth</w:t>
      </w:r>
      <w:r w:rsidR="001932AA" w:rsidRPr="5B52DE42">
        <w:rPr>
          <w:rFonts w:cs="Arial"/>
          <w:sz w:val="24"/>
        </w:rPr>
        <w:t xml:space="preserve"> released in June 2024. </w:t>
      </w:r>
      <w:r w:rsidR="002333A0" w:rsidRPr="5B52DE42">
        <w:rPr>
          <w:rFonts w:cs="Arial"/>
          <w:sz w:val="24"/>
        </w:rPr>
        <w:t>This included</w:t>
      </w:r>
      <w:r w:rsidRPr="5B52DE42">
        <w:rPr>
          <w:rFonts w:cs="Arial"/>
          <w:sz w:val="24"/>
        </w:rPr>
        <w:t xml:space="preserve"> industry stakeholders, consumers, individual providers, organisations and researchers</w:t>
      </w:r>
      <w:r w:rsidR="002333A0" w:rsidRPr="5B52DE42">
        <w:rPr>
          <w:rFonts w:cs="Arial"/>
          <w:sz w:val="24"/>
        </w:rPr>
        <w:t xml:space="preserve">. </w:t>
      </w:r>
      <w:r w:rsidRPr="5B52DE42">
        <w:rPr>
          <w:rFonts w:cs="Arial"/>
          <w:sz w:val="24"/>
        </w:rPr>
        <w:t xml:space="preserve"> </w:t>
      </w:r>
    </w:p>
    <w:p w14:paraId="3C30ABA4" w14:textId="77777777" w:rsidR="00BE5E9B" w:rsidRPr="00264239" w:rsidRDefault="00BE5E9B" w:rsidP="00BE5E9B">
      <w:pPr>
        <w:rPr>
          <w:rFonts w:cs="Arial"/>
          <w:b/>
          <w:bCs/>
          <w:iCs/>
          <w:color w:val="358189"/>
          <w:sz w:val="36"/>
          <w:szCs w:val="22"/>
        </w:rPr>
      </w:pPr>
      <w:r w:rsidRPr="00264239">
        <w:rPr>
          <w:rFonts w:cs="Arial"/>
          <w:b/>
          <w:bCs/>
          <w:iCs/>
          <w:color w:val="358189"/>
          <w:sz w:val="36"/>
          <w:szCs w:val="22"/>
        </w:rPr>
        <w:t>Information about how services are monitored and reviewed</w:t>
      </w:r>
    </w:p>
    <w:p w14:paraId="3235811B" w14:textId="07217F78" w:rsidR="00BE5E9B" w:rsidRPr="00FD5A44" w:rsidRDefault="00BE5E9B" w:rsidP="5B52DE42">
      <w:pPr>
        <w:rPr>
          <w:rFonts w:cs="Arial"/>
          <w:sz w:val="24"/>
        </w:rPr>
      </w:pPr>
      <w:r w:rsidRPr="5B52DE42">
        <w:rPr>
          <w:rFonts w:cs="Arial"/>
          <w:sz w:val="24"/>
        </w:rPr>
        <w:t xml:space="preserve">The </w:t>
      </w:r>
      <w:r w:rsidR="001E53D0">
        <w:rPr>
          <w:rFonts w:cs="Arial"/>
          <w:sz w:val="24"/>
        </w:rPr>
        <w:t>d</w:t>
      </w:r>
      <w:r w:rsidRPr="5B52DE42">
        <w:rPr>
          <w:rFonts w:cs="Arial"/>
          <w:sz w:val="24"/>
        </w:rPr>
        <w:t>epartment regularly reviews the use of MBS items in consultation with the profession.</w:t>
      </w:r>
    </w:p>
    <w:p w14:paraId="19D75666" w14:textId="17F41193" w:rsidR="00BE5E9B" w:rsidRPr="00264239" w:rsidRDefault="00BE5E9B" w:rsidP="00BE5E9B">
      <w:pPr>
        <w:rPr>
          <w:rFonts w:cs="Arial"/>
        </w:rPr>
      </w:pPr>
      <w:r w:rsidRPr="00FD5A44">
        <w:rPr>
          <w:rFonts w:cs="Arial"/>
          <w:sz w:val="24"/>
        </w:rPr>
        <w:t xml:space="preserve">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w:t>
      </w:r>
      <w:r w:rsidR="001E53D0">
        <w:rPr>
          <w:rFonts w:cs="Arial"/>
          <w:sz w:val="24"/>
        </w:rPr>
        <w:t>d</w:t>
      </w:r>
      <w:r w:rsidRPr="00FD5A44">
        <w:rPr>
          <w:rFonts w:cs="Arial"/>
          <w:sz w:val="24"/>
        </w:rPr>
        <w:t>epartment’s compliance program can be found on its website.</w:t>
      </w:r>
      <w:bookmarkEnd w:id="5"/>
      <w:r w:rsidR="001A1412">
        <w:rPr>
          <w:rFonts w:cs="Arial"/>
          <w:sz w:val="24"/>
        </w:rPr>
        <w:t xml:space="preserve"> </w:t>
      </w:r>
    </w:p>
    <w:p w14:paraId="751A4312" w14:textId="77777777" w:rsidR="00BE5E9B" w:rsidRPr="00264239" w:rsidRDefault="00BE5E9B" w:rsidP="00BE5E9B">
      <w:pPr>
        <w:pStyle w:val="Heading2"/>
      </w:pPr>
      <w:r w:rsidRPr="00264239">
        <w:lastRenderedPageBreak/>
        <w:t xml:space="preserve">What telehealth options are available? </w:t>
      </w:r>
    </w:p>
    <w:p w14:paraId="0B8BF657" w14:textId="77777777" w:rsidR="00BE5E9B" w:rsidRPr="00FD5A44" w:rsidRDefault="00BE5E9B" w:rsidP="00BE5E9B">
      <w:pPr>
        <w:spacing w:before="0" w:after="0"/>
        <w:rPr>
          <w:rFonts w:cs="Arial"/>
          <w:sz w:val="24"/>
        </w:rPr>
      </w:pPr>
      <w:r w:rsidRPr="00FD5A44">
        <w:rPr>
          <w:rFonts w:cs="Arial"/>
          <w:sz w:val="24"/>
        </w:rPr>
        <w:t>Video services are the preferred approach for substituting a face-to-face consultation. However, providers can also offer audio-only services via phone where clinically appropriate. There are separate items available for phone services.</w:t>
      </w:r>
    </w:p>
    <w:p w14:paraId="13761132" w14:textId="77777777" w:rsidR="00BE5E9B" w:rsidRPr="00FD5A44" w:rsidRDefault="00BE5E9B" w:rsidP="00BE5E9B">
      <w:pPr>
        <w:spacing w:after="0"/>
        <w:rPr>
          <w:rFonts w:cs="Arial"/>
          <w:sz w:val="24"/>
        </w:rPr>
      </w:pPr>
      <w:r w:rsidRPr="00FD5A44">
        <w:rPr>
          <w:rFonts w:cs="Arial"/>
          <w:sz w:val="24"/>
        </w:rPr>
        <w:t xml:space="preserve">No specific equipment is required to provide Medicare-compliant telehealth services. Practitioners must ensure that their chosen telecommunications solution meets their clinical requirements and satisfies privacy laws. To assist providers with their privacy obligations, a </w:t>
      </w:r>
      <w:hyperlink r:id="rId12" w:history="1">
        <w:r w:rsidRPr="00FD5A44">
          <w:rPr>
            <w:rStyle w:val="Hyperlink"/>
            <w:rFonts w:cs="Arial"/>
            <w:sz w:val="24"/>
          </w:rPr>
          <w:t>privacy checklist for telehealth services has been made available on MBS Online</w:t>
        </w:r>
      </w:hyperlink>
      <w:r w:rsidRPr="00FD5A44">
        <w:rPr>
          <w:rFonts w:cs="Arial"/>
          <w:sz w:val="24"/>
        </w:rPr>
        <w:t xml:space="preserve">. Further information can be found on </w:t>
      </w:r>
      <w:hyperlink r:id="rId13" w:history="1">
        <w:r w:rsidRPr="00FD5A44">
          <w:rPr>
            <w:rStyle w:val="Hyperlink"/>
            <w:rFonts w:cs="Arial"/>
            <w:sz w:val="24"/>
          </w:rPr>
          <w:t>the Australian Cyber Security Centre website</w:t>
        </w:r>
      </w:hyperlink>
      <w:r w:rsidRPr="00FD5A44">
        <w:rPr>
          <w:rFonts w:cs="Arial"/>
          <w:sz w:val="24"/>
        </w:rPr>
        <w:t>.</w:t>
      </w:r>
    </w:p>
    <w:p w14:paraId="3C63E237" w14:textId="77777777" w:rsidR="00064168" w:rsidRPr="00264239" w:rsidRDefault="00064168" w:rsidP="00064168">
      <w:pPr>
        <w:pStyle w:val="Heading2"/>
      </w:pPr>
      <w:r w:rsidRPr="00264239">
        <w:t>Where can I find more information?</w:t>
      </w:r>
    </w:p>
    <w:p w14:paraId="5EEA2BAC" w14:textId="7C976B03" w:rsidR="00064168" w:rsidRPr="00FD5A44" w:rsidRDefault="00064168" w:rsidP="00064168">
      <w:pPr>
        <w:rPr>
          <w:rFonts w:cs="Arial"/>
          <w:sz w:val="24"/>
        </w:rPr>
      </w:pPr>
      <w:r w:rsidRPr="00FD5A44">
        <w:rPr>
          <w:rFonts w:cs="Arial"/>
          <w:sz w:val="24"/>
        </w:rPr>
        <w:t xml:space="preserve">The full item descriptor(s) and information on other changes to the MBS can be found on the </w:t>
      </w:r>
      <w:hyperlink r:id="rId14" w:history="1">
        <w:r w:rsidRPr="00FD5A44">
          <w:rPr>
            <w:rStyle w:val="Hyperlink"/>
            <w:rFonts w:cs="Arial"/>
            <w:sz w:val="24"/>
          </w:rPr>
          <w:t>MBS Online website</w:t>
        </w:r>
      </w:hyperlink>
      <w:r w:rsidRPr="00FD5A44">
        <w:rPr>
          <w:rStyle w:val="Hyperlink"/>
          <w:rFonts w:cs="Arial"/>
          <w:sz w:val="24"/>
        </w:rPr>
        <w:t>.</w:t>
      </w:r>
      <w:r w:rsidRPr="00FD5A44">
        <w:rPr>
          <w:rFonts w:cs="Arial"/>
          <w:sz w:val="24"/>
        </w:rPr>
        <w:t xml:space="preserve"> You can also subscribe to future MBS updates by visiting </w:t>
      </w:r>
      <w:r w:rsidR="00056A81" w:rsidRPr="00FD5A44">
        <w:rPr>
          <w:rFonts w:cs="Arial"/>
          <w:sz w:val="24"/>
        </w:rPr>
        <w:t>‘</w:t>
      </w:r>
      <w:hyperlink r:id="rId15" w:history="1">
        <w:r w:rsidR="00056A81" w:rsidRPr="00FD5A44">
          <w:rPr>
            <w:rStyle w:val="Hyperlink"/>
            <w:rFonts w:cs="Arial"/>
            <w:sz w:val="24"/>
          </w:rPr>
          <w:t>Subscribe to the MBS</w:t>
        </w:r>
      </w:hyperlink>
      <w:r w:rsidR="00056A81" w:rsidRPr="00FD5A44">
        <w:rPr>
          <w:rFonts w:cs="Arial"/>
          <w:sz w:val="24"/>
        </w:rPr>
        <w:t>’</w:t>
      </w:r>
      <w:r w:rsidR="00525479" w:rsidRPr="00FD5A44">
        <w:rPr>
          <w:rFonts w:cs="Arial"/>
          <w:sz w:val="24"/>
        </w:rPr>
        <w:t xml:space="preserve"> </w:t>
      </w:r>
      <w:r w:rsidR="00056A81" w:rsidRPr="00FD5A44">
        <w:rPr>
          <w:rFonts w:cs="Arial"/>
          <w:sz w:val="24"/>
        </w:rPr>
        <w:t>on the MBS Online website</w:t>
      </w:r>
      <w:r w:rsidRPr="00FD5A44">
        <w:rPr>
          <w:rFonts w:cs="Arial"/>
          <w:sz w:val="24"/>
        </w:rPr>
        <w:t xml:space="preserve">. </w:t>
      </w:r>
    </w:p>
    <w:p w14:paraId="19B67CD4" w14:textId="511440AE" w:rsidR="001873B1" w:rsidRPr="00FD5A44" w:rsidRDefault="001873B1" w:rsidP="00064168">
      <w:pPr>
        <w:rPr>
          <w:rFonts w:cs="Arial"/>
          <w:sz w:val="24"/>
        </w:rPr>
      </w:pPr>
      <w:r w:rsidRPr="00FD5A44">
        <w:rPr>
          <w:rFonts w:cs="Arial"/>
          <w:sz w:val="24"/>
        </w:rPr>
        <w:t xml:space="preserve">Providers seeking advice on interpretation of MBS items, explanatory notes and associated legislation can use the </w:t>
      </w:r>
      <w:r w:rsidR="001E53D0">
        <w:rPr>
          <w:rFonts w:cs="Arial"/>
          <w:sz w:val="24"/>
        </w:rPr>
        <w:t>d</w:t>
      </w:r>
      <w:r w:rsidRPr="00FD5A44">
        <w:rPr>
          <w:rFonts w:cs="Arial"/>
          <w:sz w:val="24"/>
        </w:rPr>
        <w:t xml:space="preserve">epartment’s email advice service by emailing </w:t>
      </w:r>
      <w:hyperlink r:id="rId16" w:history="1">
        <w:r w:rsidRPr="00FD5A44">
          <w:rPr>
            <w:rStyle w:val="Hyperlink"/>
            <w:rFonts w:cs="Arial"/>
            <w:sz w:val="24"/>
          </w:rPr>
          <w:t>askMBS@health.gov.au</w:t>
        </w:r>
      </w:hyperlink>
      <w:r w:rsidRPr="00FD5A44">
        <w:rPr>
          <w:rFonts w:cs="Arial"/>
          <w:sz w:val="24"/>
        </w:rPr>
        <w:t>.</w:t>
      </w:r>
    </w:p>
    <w:p w14:paraId="1D6CA1FB" w14:textId="1BA3DC1B" w:rsidR="001245EF" w:rsidRPr="00FD5A44" w:rsidRDefault="001245EF" w:rsidP="001245EF">
      <w:pPr>
        <w:rPr>
          <w:rFonts w:cs="Arial"/>
          <w:color w:val="auto"/>
          <w:sz w:val="24"/>
        </w:rPr>
      </w:pPr>
      <w:r w:rsidRPr="00FD5A44">
        <w:rPr>
          <w:rFonts w:cs="Arial"/>
          <w:sz w:val="24"/>
        </w:rPr>
        <w:t xml:space="preserve">Private health insurance information on the product tier arrangements is available at </w:t>
      </w:r>
      <w:hyperlink r:id="rId17" w:history="1">
        <w:r w:rsidRPr="00FD5A44">
          <w:rPr>
            <w:rStyle w:val="Hyperlink"/>
            <w:rFonts w:cs="Arial"/>
            <w:sz w:val="24"/>
          </w:rPr>
          <w:t>www.privatehealth.gov.au</w:t>
        </w:r>
      </w:hyperlink>
      <w:r w:rsidRPr="00FD5A44">
        <w:rPr>
          <w:rFonts w:cs="Arial"/>
          <w:sz w:val="24"/>
        </w:rPr>
        <w:t xml:space="preserve">. Detailed information on the MBS item listing within clinical categories is available on the </w:t>
      </w:r>
      <w:hyperlink r:id="rId18" w:history="1">
        <w:r w:rsidR="001E53D0">
          <w:rPr>
            <w:rStyle w:val="Hyperlink"/>
            <w:rFonts w:cs="Arial"/>
            <w:sz w:val="24"/>
          </w:rPr>
          <w:t>d</w:t>
        </w:r>
        <w:r w:rsidRPr="00FD5A44">
          <w:rPr>
            <w:rStyle w:val="Hyperlink"/>
            <w:rFonts w:cs="Arial"/>
            <w:sz w:val="24"/>
          </w:rPr>
          <w:t>epartment’s website</w:t>
        </w:r>
      </w:hyperlink>
      <w:r w:rsidRPr="00FD5A44">
        <w:rPr>
          <w:rFonts w:cs="Arial"/>
          <w:sz w:val="24"/>
        </w:rPr>
        <w:t xml:space="preserve">. Private health insurance minimum accommodation benefits information, including MBS item accommodation classification, is available in the latest version of the </w:t>
      </w:r>
      <w:r w:rsidRPr="00FD5A44">
        <w:rPr>
          <w:rFonts w:cs="Arial"/>
          <w:i/>
          <w:sz w:val="24"/>
        </w:rPr>
        <w:t>Private Health Insurance (Benefit Requirements) Rules</w:t>
      </w:r>
      <w:r w:rsidR="00BD50C6" w:rsidRPr="00FD5A44">
        <w:rPr>
          <w:rFonts w:cs="Arial"/>
          <w:i/>
          <w:sz w:val="24"/>
        </w:rPr>
        <w:t> </w:t>
      </w:r>
      <w:r w:rsidRPr="00FD5A44">
        <w:rPr>
          <w:rFonts w:cs="Arial"/>
          <w:i/>
          <w:sz w:val="24"/>
        </w:rPr>
        <w:t>2011</w:t>
      </w:r>
      <w:r w:rsidR="005E2D76" w:rsidRPr="00FD5A44">
        <w:rPr>
          <w:rFonts w:cs="Arial"/>
          <w:i/>
          <w:sz w:val="24"/>
        </w:rPr>
        <w:t xml:space="preserve"> </w:t>
      </w:r>
      <w:r w:rsidR="005E2D76" w:rsidRPr="00FD5A44">
        <w:rPr>
          <w:rFonts w:cs="Arial"/>
          <w:iCs/>
          <w:sz w:val="24"/>
        </w:rPr>
        <w:t xml:space="preserve">found on the </w:t>
      </w:r>
      <w:hyperlink r:id="rId19" w:history="1">
        <w:r w:rsidR="005E2D76" w:rsidRPr="00FD5A44">
          <w:rPr>
            <w:rStyle w:val="Hyperlink"/>
            <w:rFonts w:cs="Arial"/>
            <w:iCs/>
            <w:sz w:val="24"/>
          </w:rPr>
          <w:t>Federal Register of Legislation</w:t>
        </w:r>
      </w:hyperlink>
      <w:r w:rsidRPr="00FD5A44">
        <w:rPr>
          <w:rFonts w:cs="Arial"/>
          <w:sz w:val="24"/>
        </w:rPr>
        <w:t xml:space="preserve">. If you have a query in relation to private health </w:t>
      </w:r>
      <w:r w:rsidR="00BD0A9E" w:rsidRPr="00FD5A44">
        <w:rPr>
          <w:rFonts w:cs="Arial"/>
          <w:sz w:val="24"/>
        </w:rPr>
        <w:t>insurance,</w:t>
      </w:r>
      <w:r w:rsidRPr="00FD5A44">
        <w:rPr>
          <w:rFonts w:cs="Arial"/>
          <w:sz w:val="24"/>
        </w:rPr>
        <w:t xml:space="preserve"> you should email </w:t>
      </w:r>
      <w:hyperlink r:id="rId20" w:history="1">
        <w:r w:rsidRPr="00FD5A44">
          <w:rPr>
            <w:rStyle w:val="Hyperlink"/>
            <w:rFonts w:cs="Arial"/>
            <w:sz w:val="24"/>
          </w:rPr>
          <w:t>PHI@health.gov.au</w:t>
        </w:r>
      </w:hyperlink>
      <w:r w:rsidRPr="00FD5A44">
        <w:rPr>
          <w:rFonts w:cs="Arial"/>
          <w:sz w:val="24"/>
        </w:rPr>
        <w:t>.</w:t>
      </w:r>
    </w:p>
    <w:p w14:paraId="359DC9B9" w14:textId="0B531C97" w:rsidR="00064168" w:rsidRPr="00FD5A44" w:rsidRDefault="00064168" w:rsidP="00064168">
      <w:pPr>
        <w:rPr>
          <w:rFonts w:cs="Arial"/>
          <w:sz w:val="24"/>
        </w:rPr>
      </w:pPr>
      <w:r w:rsidRPr="00FD5A44">
        <w:rPr>
          <w:rFonts w:cs="Arial"/>
          <w:sz w:val="24"/>
        </w:rPr>
        <w:t>Subscribe to ‘</w:t>
      </w:r>
      <w:hyperlink r:id="rId21" w:history="1">
        <w:r w:rsidRPr="00FD5A44">
          <w:rPr>
            <w:rStyle w:val="Hyperlink"/>
            <w:rFonts w:cs="Arial"/>
            <w:sz w:val="24"/>
          </w:rPr>
          <w:t>News for Health Professionals</w:t>
        </w:r>
      </w:hyperlink>
      <w:r w:rsidRPr="00FD5A44">
        <w:rPr>
          <w:rFonts w:cs="Arial"/>
          <w:sz w:val="24"/>
        </w:rPr>
        <w:t xml:space="preserve">’ on the Services Australia website </w:t>
      </w:r>
      <w:r w:rsidR="00E91576" w:rsidRPr="00FD5A44">
        <w:rPr>
          <w:rFonts w:cs="Arial"/>
          <w:sz w:val="24"/>
        </w:rPr>
        <w:t>to</w:t>
      </w:r>
      <w:r w:rsidRPr="00FD5A44">
        <w:rPr>
          <w:rFonts w:cs="Arial"/>
          <w:sz w:val="24"/>
        </w:rPr>
        <w:t xml:space="preserve"> receive regular news highlights.</w:t>
      </w:r>
    </w:p>
    <w:p w14:paraId="01509414" w14:textId="40308C06" w:rsidR="00064168" w:rsidRPr="00FD5A44" w:rsidRDefault="00064168" w:rsidP="00064168">
      <w:pPr>
        <w:rPr>
          <w:rFonts w:cs="Arial"/>
          <w:sz w:val="24"/>
        </w:rPr>
      </w:pPr>
      <w:r w:rsidRPr="00FD5A44">
        <w:rPr>
          <w:rFonts w:cs="Arial"/>
          <w:sz w:val="24"/>
        </w:rPr>
        <w:t xml:space="preserve">If you are seeking advice in relation to Medicare billing, claiming, payments, or obtaining a provider number, please </w:t>
      </w:r>
      <w:bookmarkStart w:id="6" w:name="_Hlk7773414"/>
      <w:r w:rsidRPr="00FD5A44">
        <w:rPr>
          <w:rFonts w:cs="Arial"/>
          <w:sz w:val="24"/>
        </w:rPr>
        <w:t xml:space="preserve">go to the Health Professionals page on the Services Australia website or </w:t>
      </w:r>
      <w:bookmarkEnd w:id="6"/>
      <w:r w:rsidRPr="00FD5A44">
        <w:rPr>
          <w:rFonts w:cs="Arial"/>
          <w:sz w:val="24"/>
        </w:rPr>
        <w:t xml:space="preserve">contact Services Australia on the Provider Enquiry Line – 13 21 50. </w:t>
      </w:r>
    </w:p>
    <w:p w14:paraId="12BB56B5" w14:textId="7A762E8E" w:rsidR="006F4BEE" w:rsidRPr="00264239" w:rsidRDefault="00064168" w:rsidP="005A5A41">
      <w:r w:rsidRPr="00FD5A44">
        <w:rPr>
          <w:rFonts w:cs="Arial"/>
          <w:sz w:val="24"/>
        </w:rPr>
        <w:t xml:space="preserve">The data file for software vendors when available can be accessed via the </w:t>
      </w:r>
      <w:hyperlink r:id="rId22" w:history="1">
        <w:r w:rsidR="00C02732" w:rsidRPr="00FD5A44">
          <w:rPr>
            <w:rStyle w:val="Hyperlink"/>
            <w:rFonts w:cs="Arial"/>
            <w:sz w:val="24"/>
          </w:rPr>
          <w:t>Downloads</w:t>
        </w:r>
      </w:hyperlink>
      <w:r w:rsidRPr="00FD5A44">
        <w:rPr>
          <w:rFonts w:cs="Arial"/>
          <w:sz w:val="24"/>
        </w:rPr>
        <w:t xml:space="preserve"> page.</w:t>
      </w:r>
      <w:r w:rsidR="006F4BEE" w:rsidRPr="00FD5A44">
        <w:br w:type="page"/>
      </w:r>
    </w:p>
    <w:p w14:paraId="4B45BD91" w14:textId="70A8B1D6" w:rsidR="00F83E68" w:rsidRPr="00264239" w:rsidRDefault="00F83E68" w:rsidP="00F432DC">
      <w:pPr>
        <w:pStyle w:val="Heading1"/>
      </w:pPr>
      <w:r w:rsidRPr="00264239">
        <w:lastRenderedPageBreak/>
        <w:t xml:space="preserve">Specialist MBS </w:t>
      </w:r>
      <w:bookmarkStart w:id="7" w:name="_Hlk188893979"/>
      <w:r w:rsidRPr="00264239">
        <w:t xml:space="preserve">face-to-face and telehealth items – out-of-hospital attendances </w:t>
      </w:r>
    </w:p>
    <w:bookmarkEnd w:id="7"/>
    <w:p w14:paraId="4D864635" w14:textId="77777777" w:rsidR="00F83E68" w:rsidRPr="00FD5A44" w:rsidRDefault="00F83E68" w:rsidP="00F432DC">
      <w:pPr>
        <w:rPr>
          <w:rFonts w:cs="Arial"/>
          <w:sz w:val="24"/>
        </w:rPr>
      </w:pPr>
      <w:r w:rsidRPr="00FD5A44">
        <w:rPr>
          <w:rFonts w:cs="Arial"/>
          <w:sz w:val="24"/>
        </w:rPr>
        <w:t>Table 1. Specialist services</w:t>
      </w:r>
    </w:p>
    <w:tbl>
      <w:tblPr>
        <w:tblStyle w:val="GridTable4-Accent2"/>
        <w:tblW w:w="0" w:type="auto"/>
        <w:tblLook w:val="04A0" w:firstRow="1" w:lastRow="0" w:firstColumn="1" w:lastColumn="0" w:noHBand="0" w:noVBand="1"/>
        <w:tblCaption w:val="Table 1. Specialist services introduced 13 March 2020"/>
        <w:tblDescription w:val="A table showing specialist services introduced on 13 March 2020, with separate columns for existing (face-to-face) items, telehealth (videoconference) items and telephone items."/>
      </w:tblPr>
      <w:tblGrid>
        <w:gridCol w:w="4390"/>
        <w:gridCol w:w="1701"/>
        <w:gridCol w:w="1559"/>
        <w:gridCol w:w="1410"/>
      </w:tblGrid>
      <w:tr w:rsidR="00F83E68" w:rsidRPr="00FD5A44" w14:paraId="59DE295B" w14:textId="77777777" w:rsidTr="00F432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hideMark/>
          </w:tcPr>
          <w:p w14:paraId="334033A0" w14:textId="77777777" w:rsidR="00F83E68" w:rsidRPr="00FD5A44" w:rsidRDefault="00F83E68" w:rsidP="00F83E68">
            <w:pPr>
              <w:rPr>
                <w:rFonts w:cs="Arial"/>
                <w:color w:val="FFFFFF" w:themeColor="background1"/>
                <w:sz w:val="24"/>
              </w:rPr>
            </w:pPr>
            <w:bookmarkStart w:id="8" w:name="_Hlk118987208"/>
            <w:r w:rsidRPr="00FD5A44">
              <w:rPr>
                <w:rFonts w:cs="Arial"/>
                <w:color w:val="FFFFFF" w:themeColor="background1"/>
                <w:sz w:val="24"/>
                <w:lang w:eastAsia="en-AU"/>
              </w:rPr>
              <w:t>Service</w:t>
            </w:r>
          </w:p>
        </w:tc>
        <w:tc>
          <w:tcPr>
            <w:tcW w:w="1701" w:type="dxa"/>
            <w:hideMark/>
          </w:tcPr>
          <w:p w14:paraId="410948D5"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Face-to-face items</w:t>
            </w:r>
          </w:p>
        </w:tc>
        <w:tc>
          <w:tcPr>
            <w:tcW w:w="1559" w:type="dxa"/>
            <w:hideMark/>
          </w:tcPr>
          <w:p w14:paraId="1C3BE6B4"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Video items</w:t>
            </w:r>
          </w:p>
        </w:tc>
        <w:tc>
          <w:tcPr>
            <w:tcW w:w="1410" w:type="dxa"/>
            <w:hideMark/>
          </w:tcPr>
          <w:p w14:paraId="410E3A44"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Phone items</w:t>
            </w:r>
          </w:p>
        </w:tc>
      </w:tr>
      <w:tr w:rsidR="00F83E68" w:rsidRPr="00FD5A44" w14:paraId="3ABB26B1"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hideMark/>
          </w:tcPr>
          <w:p w14:paraId="3AE55C0E" w14:textId="77777777" w:rsidR="00F83E68" w:rsidRPr="00FD5A44" w:rsidRDefault="00F83E68" w:rsidP="00F83E68">
            <w:pPr>
              <w:rPr>
                <w:rFonts w:cs="Arial"/>
                <w:sz w:val="24"/>
              </w:rPr>
            </w:pPr>
            <w:r w:rsidRPr="00FD5A44">
              <w:rPr>
                <w:rFonts w:cs="Arial"/>
                <w:sz w:val="24"/>
                <w:lang w:eastAsia="en-AU"/>
              </w:rPr>
              <w:t>Specialist. Initial attendance</w:t>
            </w:r>
          </w:p>
        </w:tc>
        <w:tc>
          <w:tcPr>
            <w:tcW w:w="1701" w:type="dxa"/>
            <w:hideMark/>
          </w:tcPr>
          <w:p w14:paraId="0C095051"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104</w:t>
            </w:r>
          </w:p>
        </w:tc>
        <w:tc>
          <w:tcPr>
            <w:tcW w:w="1559" w:type="dxa"/>
            <w:hideMark/>
          </w:tcPr>
          <w:p w14:paraId="5C5AF4FD"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91822</w:t>
            </w:r>
          </w:p>
        </w:tc>
        <w:tc>
          <w:tcPr>
            <w:tcW w:w="1410" w:type="dxa"/>
            <w:hideMark/>
          </w:tcPr>
          <w:p w14:paraId="28756547"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p>
        </w:tc>
      </w:tr>
      <w:tr w:rsidR="00F83E68" w:rsidRPr="00FD5A44" w14:paraId="0CAF24A5" w14:textId="77777777" w:rsidTr="00F432DC">
        <w:tc>
          <w:tcPr>
            <w:cnfStyle w:val="001000000000" w:firstRow="0" w:lastRow="0" w:firstColumn="1" w:lastColumn="0" w:oddVBand="0" w:evenVBand="0" w:oddHBand="0" w:evenHBand="0" w:firstRowFirstColumn="0" w:firstRowLastColumn="0" w:lastRowFirstColumn="0" w:lastRowLastColumn="0"/>
            <w:tcW w:w="4390" w:type="dxa"/>
            <w:hideMark/>
          </w:tcPr>
          <w:p w14:paraId="38C81C3C" w14:textId="77777777" w:rsidR="00F83E68" w:rsidRPr="00FD5A44" w:rsidRDefault="00F83E68" w:rsidP="00F83E68">
            <w:pPr>
              <w:pStyle w:val="Tabletextleft"/>
              <w:rPr>
                <w:rFonts w:cs="Arial"/>
                <w:b/>
                <w:sz w:val="24"/>
                <w:szCs w:val="24"/>
              </w:rPr>
            </w:pPr>
            <w:r w:rsidRPr="00FD5A44">
              <w:rPr>
                <w:rFonts w:cs="Arial"/>
                <w:b/>
                <w:sz w:val="24"/>
                <w:szCs w:val="24"/>
              </w:rPr>
              <w:t>Specialist. Subsequent attendance</w:t>
            </w:r>
          </w:p>
        </w:tc>
        <w:tc>
          <w:tcPr>
            <w:tcW w:w="1701" w:type="dxa"/>
            <w:hideMark/>
          </w:tcPr>
          <w:p w14:paraId="6FEFEBA8"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105</w:t>
            </w:r>
          </w:p>
        </w:tc>
        <w:tc>
          <w:tcPr>
            <w:tcW w:w="1559" w:type="dxa"/>
            <w:hideMark/>
          </w:tcPr>
          <w:p w14:paraId="62307F45"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91823</w:t>
            </w:r>
          </w:p>
        </w:tc>
        <w:tc>
          <w:tcPr>
            <w:tcW w:w="1410" w:type="dxa"/>
            <w:hideMark/>
          </w:tcPr>
          <w:p w14:paraId="798F61FD"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91833</w:t>
            </w:r>
          </w:p>
        </w:tc>
      </w:tr>
    </w:tbl>
    <w:bookmarkEnd w:id="8"/>
    <w:p w14:paraId="361D79A0" w14:textId="77777777" w:rsidR="00F83E68" w:rsidRPr="00FD5A44" w:rsidRDefault="00F83E68" w:rsidP="00F432DC">
      <w:pPr>
        <w:rPr>
          <w:rFonts w:cs="Arial"/>
          <w:sz w:val="24"/>
        </w:rPr>
      </w:pPr>
      <w:r w:rsidRPr="00FD5A44">
        <w:rPr>
          <w:rFonts w:cs="Arial"/>
          <w:sz w:val="24"/>
        </w:rPr>
        <w:t>Table 2. Consultant Physician services</w:t>
      </w:r>
    </w:p>
    <w:tbl>
      <w:tblPr>
        <w:tblStyle w:val="GridTable4-Accent2"/>
        <w:tblW w:w="9072" w:type="dxa"/>
        <w:tblInd w:w="-5" w:type="dxa"/>
        <w:tblLook w:val="04A0" w:firstRow="1" w:lastRow="0" w:firstColumn="1" w:lastColumn="0" w:noHBand="0" w:noVBand="1"/>
        <w:tblCaption w:val="Table 2. Consultant Physician services introduced 13 March 2020"/>
        <w:tblDescription w:val="A table showing consultant physician services introduced on 13 March 2020, with separate columns for existing (face-to-face) items, telehealth (videoconference) items and telephone items."/>
      </w:tblPr>
      <w:tblGrid>
        <w:gridCol w:w="4395"/>
        <w:gridCol w:w="1701"/>
        <w:gridCol w:w="1559"/>
        <w:gridCol w:w="1417"/>
      </w:tblGrid>
      <w:tr w:rsidR="00F83E68" w:rsidRPr="00FD5A44" w14:paraId="59E62ACB" w14:textId="77777777" w:rsidTr="00F432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3CFC4FF" w14:textId="77777777" w:rsidR="00F83E68" w:rsidRPr="00FD5A44" w:rsidRDefault="00F83E68" w:rsidP="00F83E68">
            <w:pPr>
              <w:rPr>
                <w:rFonts w:cs="Arial"/>
                <w:color w:val="FFFFFF" w:themeColor="background1"/>
                <w:sz w:val="24"/>
                <w:lang w:eastAsia="en-AU"/>
              </w:rPr>
            </w:pPr>
            <w:bookmarkStart w:id="9" w:name="_Hlk124767516"/>
            <w:r w:rsidRPr="00FD5A44">
              <w:rPr>
                <w:rFonts w:cs="Arial"/>
                <w:color w:val="FFFFFF" w:themeColor="background1"/>
                <w:sz w:val="24"/>
                <w:lang w:eastAsia="en-AU"/>
              </w:rPr>
              <w:t>Service</w:t>
            </w:r>
          </w:p>
        </w:tc>
        <w:tc>
          <w:tcPr>
            <w:tcW w:w="1701" w:type="dxa"/>
            <w:vAlign w:val="center"/>
          </w:tcPr>
          <w:p w14:paraId="74C52441"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Face-to-face items</w:t>
            </w:r>
          </w:p>
        </w:tc>
        <w:tc>
          <w:tcPr>
            <w:tcW w:w="1559" w:type="dxa"/>
            <w:vAlign w:val="center"/>
          </w:tcPr>
          <w:p w14:paraId="4A0CC59A"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Video items</w:t>
            </w:r>
          </w:p>
        </w:tc>
        <w:tc>
          <w:tcPr>
            <w:tcW w:w="1417" w:type="dxa"/>
            <w:vAlign w:val="center"/>
          </w:tcPr>
          <w:p w14:paraId="670585AD"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Phone items</w:t>
            </w:r>
          </w:p>
        </w:tc>
      </w:tr>
      <w:tr w:rsidR="00F83E68" w:rsidRPr="00FD5A44" w14:paraId="7841C815"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E048BA1" w14:textId="77777777" w:rsidR="00F83E68" w:rsidRPr="00FD5A44" w:rsidRDefault="00F83E68" w:rsidP="00F83E68">
            <w:pPr>
              <w:rPr>
                <w:rFonts w:cs="Arial"/>
                <w:sz w:val="24"/>
                <w:lang w:eastAsia="en-AU"/>
              </w:rPr>
            </w:pPr>
            <w:r w:rsidRPr="00FD5A44">
              <w:rPr>
                <w:rFonts w:cs="Arial"/>
                <w:sz w:val="24"/>
                <w:lang w:eastAsia="en-AU"/>
              </w:rPr>
              <w:t>Consultant physician. Initial attendance</w:t>
            </w:r>
          </w:p>
        </w:tc>
        <w:tc>
          <w:tcPr>
            <w:tcW w:w="1701" w:type="dxa"/>
            <w:vAlign w:val="center"/>
          </w:tcPr>
          <w:p w14:paraId="3F6D902E"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110</w:t>
            </w:r>
          </w:p>
        </w:tc>
        <w:tc>
          <w:tcPr>
            <w:tcW w:w="1559" w:type="dxa"/>
            <w:vAlign w:val="center"/>
          </w:tcPr>
          <w:p w14:paraId="694115BE"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91824</w:t>
            </w:r>
          </w:p>
        </w:tc>
        <w:tc>
          <w:tcPr>
            <w:tcW w:w="1417" w:type="dxa"/>
            <w:vAlign w:val="center"/>
          </w:tcPr>
          <w:p w14:paraId="00EBFC7C"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p>
        </w:tc>
      </w:tr>
      <w:tr w:rsidR="00F83E68" w:rsidRPr="00FD5A44" w14:paraId="0D0CF9E5" w14:textId="77777777" w:rsidTr="00F432DC">
        <w:tc>
          <w:tcPr>
            <w:cnfStyle w:val="001000000000" w:firstRow="0" w:lastRow="0" w:firstColumn="1" w:lastColumn="0" w:oddVBand="0" w:evenVBand="0" w:oddHBand="0" w:evenHBand="0" w:firstRowFirstColumn="0" w:firstRowLastColumn="0" w:lastRowFirstColumn="0" w:lastRowLastColumn="0"/>
            <w:tcW w:w="4395" w:type="dxa"/>
            <w:vAlign w:val="center"/>
          </w:tcPr>
          <w:p w14:paraId="0EA5BFD3" w14:textId="77777777" w:rsidR="00F83E68" w:rsidRPr="00FD5A44" w:rsidRDefault="00F83E68" w:rsidP="00F83E68">
            <w:pPr>
              <w:rPr>
                <w:rFonts w:cs="Arial"/>
                <w:sz w:val="24"/>
                <w:lang w:eastAsia="en-AU"/>
              </w:rPr>
            </w:pPr>
            <w:r w:rsidRPr="00FD5A44">
              <w:rPr>
                <w:rFonts w:cs="Arial"/>
                <w:sz w:val="24"/>
                <w:lang w:eastAsia="en-AU"/>
              </w:rPr>
              <w:t>Consultant physician. Subsequent attendance</w:t>
            </w:r>
          </w:p>
        </w:tc>
        <w:tc>
          <w:tcPr>
            <w:tcW w:w="1701" w:type="dxa"/>
            <w:vAlign w:val="center"/>
          </w:tcPr>
          <w:p w14:paraId="07BCB9C7"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116</w:t>
            </w:r>
          </w:p>
        </w:tc>
        <w:tc>
          <w:tcPr>
            <w:tcW w:w="1559" w:type="dxa"/>
            <w:vAlign w:val="center"/>
          </w:tcPr>
          <w:p w14:paraId="6E2FBCA4"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91825</w:t>
            </w:r>
          </w:p>
        </w:tc>
        <w:tc>
          <w:tcPr>
            <w:tcW w:w="1417" w:type="dxa"/>
            <w:vAlign w:val="center"/>
          </w:tcPr>
          <w:p w14:paraId="3864C602" w14:textId="2956C65D" w:rsidR="00F83E68" w:rsidRPr="00FD5A44" w:rsidRDefault="007B2971"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92440</w:t>
            </w:r>
          </w:p>
        </w:tc>
      </w:tr>
      <w:tr w:rsidR="00F83E68" w:rsidRPr="00FD5A44" w14:paraId="2AEB70A0"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5DB7E63" w14:textId="77777777" w:rsidR="00F83E68" w:rsidRPr="00FD5A44" w:rsidRDefault="00F83E68" w:rsidP="00F83E68">
            <w:pPr>
              <w:pStyle w:val="Tabletextleft"/>
              <w:rPr>
                <w:rFonts w:cs="Arial"/>
                <w:b/>
                <w:sz w:val="24"/>
                <w:szCs w:val="24"/>
              </w:rPr>
            </w:pPr>
            <w:r w:rsidRPr="00FD5A44">
              <w:rPr>
                <w:rFonts w:cs="Arial"/>
                <w:b/>
                <w:sz w:val="24"/>
                <w:szCs w:val="24"/>
              </w:rPr>
              <w:t>Consultant physician. Minor attendance</w:t>
            </w:r>
          </w:p>
        </w:tc>
        <w:tc>
          <w:tcPr>
            <w:tcW w:w="1701" w:type="dxa"/>
            <w:vAlign w:val="center"/>
          </w:tcPr>
          <w:p w14:paraId="108C7EA6" w14:textId="77777777" w:rsidR="00F83E68" w:rsidRPr="00FD5A44" w:rsidRDefault="00F83E68" w:rsidP="00F83E68">
            <w:pPr>
              <w:pStyle w:val="Tabletextleft"/>
              <w:cnfStyle w:val="000000100000" w:firstRow="0" w:lastRow="0" w:firstColumn="0" w:lastColumn="0" w:oddVBand="0" w:evenVBand="0" w:oddHBand="1" w:evenHBand="0" w:firstRowFirstColumn="0" w:firstRowLastColumn="0" w:lastRowFirstColumn="0" w:lastRowLastColumn="0"/>
              <w:rPr>
                <w:rFonts w:cs="Arial"/>
                <w:b w:val="0"/>
                <w:sz w:val="24"/>
                <w:szCs w:val="24"/>
              </w:rPr>
            </w:pPr>
            <w:r w:rsidRPr="00FD5A44">
              <w:rPr>
                <w:rFonts w:cs="Arial"/>
                <w:b w:val="0"/>
                <w:sz w:val="24"/>
                <w:szCs w:val="24"/>
              </w:rPr>
              <w:t>119</w:t>
            </w:r>
          </w:p>
        </w:tc>
        <w:tc>
          <w:tcPr>
            <w:tcW w:w="1559" w:type="dxa"/>
            <w:vAlign w:val="center"/>
          </w:tcPr>
          <w:p w14:paraId="78E3623F" w14:textId="77777777" w:rsidR="00F83E68" w:rsidRPr="00FD5A44" w:rsidRDefault="00F83E68" w:rsidP="00F83E68">
            <w:pPr>
              <w:pStyle w:val="Tabletextleft"/>
              <w:cnfStyle w:val="000000100000" w:firstRow="0" w:lastRow="0" w:firstColumn="0" w:lastColumn="0" w:oddVBand="0" w:evenVBand="0" w:oddHBand="1" w:evenHBand="0" w:firstRowFirstColumn="0" w:firstRowLastColumn="0" w:lastRowFirstColumn="0" w:lastRowLastColumn="0"/>
              <w:rPr>
                <w:rFonts w:cs="Arial"/>
                <w:b w:val="0"/>
                <w:sz w:val="24"/>
                <w:szCs w:val="24"/>
              </w:rPr>
            </w:pPr>
            <w:r w:rsidRPr="00FD5A44">
              <w:rPr>
                <w:rFonts w:cs="Arial"/>
                <w:b w:val="0"/>
                <w:sz w:val="24"/>
                <w:szCs w:val="24"/>
              </w:rPr>
              <w:t>91826</w:t>
            </w:r>
          </w:p>
        </w:tc>
        <w:tc>
          <w:tcPr>
            <w:tcW w:w="1417" w:type="dxa"/>
            <w:vAlign w:val="center"/>
          </w:tcPr>
          <w:p w14:paraId="463CF0B7" w14:textId="77777777" w:rsidR="00F83E68" w:rsidRPr="00FD5A44" w:rsidRDefault="00F83E68" w:rsidP="00F83E68">
            <w:pPr>
              <w:pStyle w:val="Tabletextleft"/>
              <w:cnfStyle w:val="000000100000" w:firstRow="0" w:lastRow="0" w:firstColumn="0" w:lastColumn="0" w:oddVBand="0" w:evenVBand="0" w:oddHBand="1" w:evenHBand="0" w:firstRowFirstColumn="0" w:firstRowLastColumn="0" w:lastRowFirstColumn="0" w:lastRowLastColumn="0"/>
              <w:rPr>
                <w:rFonts w:cs="Arial"/>
                <w:b w:val="0"/>
                <w:sz w:val="24"/>
                <w:szCs w:val="24"/>
              </w:rPr>
            </w:pPr>
            <w:r w:rsidRPr="00FD5A44">
              <w:rPr>
                <w:rFonts w:cs="Arial"/>
                <w:b w:val="0"/>
                <w:sz w:val="24"/>
                <w:szCs w:val="24"/>
              </w:rPr>
              <w:t>91836</w:t>
            </w:r>
          </w:p>
        </w:tc>
      </w:tr>
    </w:tbl>
    <w:bookmarkEnd w:id="9"/>
    <w:p w14:paraId="254C834B" w14:textId="77777777" w:rsidR="00F83E68" w:rsidRPr="00FD5A44" w:rsidRDefault="00F83E68" w:rsidP="00F432DC">
      <w:pPr>
        <w:rPr>
          <w:rFonts w:cs="Arial"/>
          <w:sz w:val="24"/>
        </w:rPr>
      </w:pPr>
      <w:r w:rsidRPr="00FD5A44">
        <w:rPr>
          <w:rFonts w:cs="Arial"/>
          <w:sz w:val="24"/>
        </w:rPr>
        <w:t>Table 3. Consultant Physician services</w:t>
      </w:r>
    </w:p>
    <w:tbl>
      <w:tblPr>
        <w:tblStyle w:val="GridTable4-Accent2"/>
        <w:tblW w:w="9072" w:type="dxa"/>
        <w:tblInd w:w="-5" w:type="dxa"/>
        <w:tblLook w:val="04A0" w:firstRow="1" w:lastRow="0" w:firstColumn="1" w:lastColumn="0" w:noHBand="0" w:noVBand="1"/>
        <w:tblCaption w:val="Table 3. Consultant Physician services introduced 6 April 2020"/>
        <w:tblDescription w:val="A table showing consultant physician services introduced on 6 April 2020, with separate columns for existing (face-to-face) items, telehealth (videoconference) items and telephone items."/>
      </w:tblPr>
      <w:tblGrid>
        <w:gridCol w:w="4395"/>
        <w:gridCol w:w="1701"/>
        <w:gridCol w:w="1559"/>
        <w:gridCol w:w="1417"/>
      </w:tblGrid>
      <w:tr w:rsidR="00F83E68" w:rsidRPr="00FD5A44" w14:paraId="73652A83" w14:textId="77777777" w:rsidTr="00F432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3558D92" w14:textId="77777777" w:rsidR="00F83E68" w:rsidRPr="00FD5A44" w:rsidRDefault="00F83E68" w:rsidP="00F83E68">
            <w:pPr>
              <w:rPr>
                <w:rFonts w:cs="Arial"/>
                <w:color w:val="FFFFFF" w:themeColor="background1"/>
                <w:sz w:val="24"/>
                <w:lang w:eastAsia="en-AU"/>
              </w:rPr>
            </w:pPr>
            <w:r w:rsidRPr="00FD5A44">
              <w:rPr>
                <w:rFonts w:cs="Arial"/>
                <w:color w:val="FFFFFF" w:themeColor="background1"/>
                <w:sz w:val="24"/>
                <w:lang w:eastAsia="en-AU"/>
              </w:rPr>
              <w:t>Service</w:t>
            </w:r>
          </w:p>
        </w:tc>
        <w:tc>
          <w:tcPr>
            <w:tcW w:w="1701" w:type="dxa"/>
            <w:vAlign w:val="center"/>
          </w:tcPr>
          <w:p w14:paraId="0424CBCC"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Face-to-face items</w:t>
            </w:r>
          </w:p>
        </w:tc>
        <w:tc>
          <w:tcPr>
            <w:tcW w:w="1559" w:type="dxa"/>
            <w:vAlign w:val="center"/>
          </w:tcPr>
          <w:p w14:paraId="12AAF59A"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Video items</w:t>
            </w:r>
          </w:p>
        </w:tc>
        <w:tc>
          <w:tcPr>
            <w:tcW w:w="1417" w:type="dxa"/>
            <w:vAlign w:val="center"/>
          </w:tcPr>
          <w:p w14:paraId="439CDA08"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Phone items</w:t>
            </w:r>
          </w:p>
        </w:tc>
      </w:tr>
      <w:tr w:rsidR="00F83E68" w:rsidRPr="00FD5A44" w14:paraId="55287ED5"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B1CD9FB" w14:textId="77777777" w:rsidR="00F83E68" w:rsidRPr="00FD5A44" w:rsidRDefault="00F83E68" w:rsidP="00F83E68">
            <w:pPr>
              <w:rPr>
                <w:rFonts w:cs="Arial"/>
                <w:sz w:val="24"/>
                <w:lang w:eastAsia="en-AU"/>
              </w:rPr>
            </w:pPr>
            <w:r w:rsidRPr="00FD5A44">
              <w:rPr>
                <w:rFonts w:cs="Arial"/>
                <w:sz w:val="24"/>
                <w:lang w:eastAsia="en-AU"/>
              </w:rPr>
              <w:t>Consultant physician. Initial assessment, patient with at least 2 morbidities, prepare a treatment and management plan, at least 45 minutes</w:t>
            </w:r>
          </w:p>
        </w:tc>
        <w:tc>
          <w:tcPr>
            <w:tcW w:w="1701" w:type="dxa"/>
            <w:vAlign w:val="center"/>
          </w:tcPr>
          <w:p w14:paraId="6CE3255B"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132</w:t>
            </w:r>
          </w:p>
        </w:tc>
        <w:tc>
          <w:tcPr>
            <w:tcW w:w="1559" w:type="dxa"/>
            <w:vAlign w:val="center"/>
          </w:tcPr>
          <w:p w14:paraId="611D1695"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92422</w:t>
            </w:r>
          </w:p>
        </w:tc>
        <w:tc>
          <w:tcPr>
            <w:tcW w:w="1417" w:type="dxa"/>
            <w:vAlign w:val="center"/>
          </w:tcPr>
          <w:p w14:paraId="33F83C27"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p>
        </w:tc>
      </w:tr>
      <w:tr w:rsidR="00F83E68" w:rsidRPr="00FD5A44" w14:paraId="3422F4D4" w14:textId="77777777" w:rsidTr="00F432DC">
        <w:tc>
          <w:tcPr>
            <w:cnfStyle w:val="001000000000" w:firstRow="0" w:lastRow="0" w:firstColumn="1" w:lastColumn="0" w:oddVBand="0" w:evenVBand="0" w:oddHBand="0" w:evenHBand="0" w:firstRowFirstColumn="0" w:firstRowLastColumn="0" w:lastRowFirstColumn="0" w:lastRowLastColumn="0"/>
            <w:tcW w:w="4395" w:type="dxa"/>
            <w:vAlign w:val="center"/>
          </w:tcPr>
          <w:p w14:paraId="0D9682FB" w14:textId="77777777" w:rsidR="00F83E68" w:rsidRPr="00FD5A44" w:rsidRDefault="00F83E68" w:rsidP="00F83E68">
            <w:pPr>
              <w:pStyle w:val="Tabletextleft"/>
              <w:rPr>
                <w:rFonts w:cs="Arial"/>
                <w:b/>
                <w:sz w:val="24"/>
                <w:szCs w:val="24"/>
              </w:rPr>
            </w:pPr>
            <w:r w:rsidRPr="00FD5A44">
              <w:rPr>
                <w:rFonts w:cs="Arial"/>
                <w:b/>
                <w:sz w:val="24"/>
                <w:szCs w:val="24"/>
              </w:rPr>
              <w:t>Consultant physician, Subsequent assessment, patient with at least 2 morbidities, review a treatment and management plan, at least 20 minutes</w:t>
            </w:r>
          </w:p>
        </w:tc>
        <w:tc>
          <w:tcPr>
            <w:tcW w:w="1701" w:type="dxa"/>
            <w:vAlign w:val="center"/>
          </w:tcPr>
          <w:p w14:paraId="622B833D"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133</w:t>
            </w:r>
          </w:p>
        </w:tc>
        <w:tc>
          <w:tcPr>
            <w:tcW w:w="1559" w:type="dxa"/>
            <w:vAlign w:val="center"/>
          </w:tcPr>
          <w:p w14:paraId="3A56B3DF"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92423</w:t>
            </w:r>
          </w:p>
        </w:tc>
        <w:tc>
          <w:tcPr>
            <w:tcW w:w="1417" w:type="dxa"/>
            <w:vAlign w:val="center"/>
          </w:tcPr>
          <w:p w14:paraId="2B3F3D64" w14:textId="24A1C574" w:rsidR="00F83E68" w:rsidRPr="00FD5A44" w:rsidRDefault="005E05FD"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92443</w:t>
            </w:r>
          </w:p>
        </w:tc>
      </w:tr>
    </w:tbl>
    <w:p w14:paraId="3C173824" w14:textId="77777777" w:rsidR="00F83E68" w:rsidRPr="00FD5A44" w:rsidRDefault="00F83E68" w:rsidP="00F432DC">
      <w:pPr>
        <w:rPr>
          <w:rFonts w:cs="Arial"/>
          <w:sz w:val="24"/>
        </w:rPr>
      </w:pPr>
      <w:r w:rsidRPr="00FD5A44">
        <w:rPr>
          <w:rFonts w:cs="Arial"/>
          <w:sz w:val="24"/>
        </w:rPr>
        <w:t>Table 4. Specialist and Consultant Physician services</w:t>
      </w:r>
    </w:p>
    <w:tbl>
      <w:tblPr>
        <w:tblStyle w:val="GridTable4-Accent2"/>
        <w:tblW w:w="9072" w:type="dxa"/>
        <w:tblInd w:w="-5" w:type="dxa"/>
        <w:tblLook w:val="04A0" w:firstRow="1" w:lastRow="0" w:firstColumn="1" w:lastColumn="0" w:noHBand="0" w:noVBand="1"/>
        <w:tblCaption w:val="Table 4. Specialist and Consultant Physician services introduced 30 March "/>
        <w:tblDescription w:val="A table showing specialist and consultant physician services introduced on 30 March 2020, with separate columns for existing (face-to-face) items, telehealth (videoconference) items and telephone items."/>
      </w:tblPr>
      <w:tblGrid>
        <w:gridCol w:w="4395"/>
        <w:gridCol w:w="1701"/>
        <w:gridCol w:w="1559"/>
        <w:gridCol w:w="1417"/>
      </w:tblGrid>
      <w:tr w:rsidR="00F83E68" w:rsidRPr="00FD5A44" w14:paraId="2EB84E22" w14:textId="77777777" w:rsidTr="00F432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1D18FB9" w14:textId="77777777" w:rsidR="00F83E68" w:rsidRPr="00FD5A44" w:rsidRDefault="00F83E68" w:rsidP="00F83E68">
            <w:pPr>
              <w:rPr>
                <w:rFonts w:cs="Arial"/>
                <w:color w:val="FFFFFF" w:themeColor="background1"/>
                <w:sz w:val="24"/>
                <w:lang w:eastAsia="en-AU"/>
              </w:rPr>
            </w:pPr>
            <w:r w:rsidRPr="00FD5A44">
              <w:rPr>
                <w:rFonts w:cs="Arial"/>
                <w:color w:val="FFFFFF" w:themeColor="background1"/>
                <w:sz w:val="24"/>
                <w:lang w:eastAsia="en-AU"/>
              </w:rPr>
              <w:lastRenderedPageBreak/>
              <w:t>Service</w:t>
            </w:r>
          </w:p>
        </w:tc>
        <w:tc>
          <w:tcPr>
            <w:tcW w:w="1701" w:type="dxa"/>
            <w:vAlign w:val="center"/>
          </w:tcPr>
          <w:p w14:paraId="3F839375"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Face-to-face items</w:t>
            </w:r>
          </w:p>
        </w:tc>
        <w:tc>
          <w:tcPr>
            <w:tcW w:w="1559" w:type="dxa"/>
            <w:vAlign w:val="center"/>
          </w:tcPr>
          <w:p w14:paraId="35BCD4E2"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Video items</w:t>
            </w:r>
          </w:p>
        </w:tc>
        <w:tc>
          <w:tcPr>
            <w:tcW w:w="1417" w:type="dxa"/>
            <w:vAlign w:val="center"/>
          </w:tcPr>
          <w:p w14:paraId="283FB2BA"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Phone items</w:t>
            </w:r>
          </w:p>
        </w:tc>
      </w:tr>
      <w:tr w:rsidR="00F83E68" w:rsidRPr="00FD5A44" w14:paraId="5E4349AC"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F9A298B" w14:textId="77777777" w:rsidR="00F83E68" w:rsidRPr="00FD5A44" w:rsidRDefault="00F83E68" w:rsidP="00F83E68">
            <w:pPr>
              <w:rPr>
                <w:rFonts w:cs="Arial"/>
                <w:sz w:val="24"/>
                <w:lang w:eastAsia="en-AU"/>
              </w:rPr>
            </w:pPr>
            <w:r w:rsidRPr="00FD5A44">
              <w:rPr>
                <w:rFonts w:cs="Arial"/>
                <w:sz w:val="24"/>
                <w:lang w:eastAsia="en-AU"/>
              </w:rPr>
              <w:t>Specialist or consultant physician early intervention services for children with autism, pervasive developmental disorder, or disability</w:t>
            </w:r>
          </w:p>
        </w:tc>
        <w:tc>
          <w:tcPr>
            <w:tcW w:w="1701" w:type="dxa"/>
            <w:vAlign w:val="center"/>
          </w:tcPr>
          <w:p w14:paraId="0838A65F"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137</w:t>
            </w:r>
          </w:p>
        </w:tc>
        <w:tc>
          <w:tcPr>
            <w:tcW w:w="1559" w:type="dxa"/>
            <w:vAlign w:val="center"/>
          </w:tcPr>
          <w:p w14:paraId="00533B25"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92141</w:t>
            </w:r>
          </w:p>
        </w:tc>
        <w:tc>
          <w:tcPr>
            <w:tcW w:w="1417" w:type="dxa"/>
            <w:vAlign w:val="center"/>
          </w:tcPr>
          <w:p w14:paraId="1410A980"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p>
        </w:tc>
      </w:tr>
    </w:tbl>
    <w:p w14:paraId="5EA1EC72" w14:textId="77777777" w:rsidR="00F83E68" w:rsidRPr="00FD5A44" w:rsidRDefault="00F83E68" w:rsidP="00F432DC">
      <w:pPr>
        <w:rPr>
          <w:rFonts w:cs="Arial"/>
          <w:sz w:val="24"/>
        </w:rPr>
      </w:pPr>
      <w:r w:rsidRPr="00FD5A44">
        <w:rPr>
          <w:rFonts w:cs="Arial"/>
          <w:sz w:val="24"/>
        </w:rPr>
        <w:t>Table 5. Geriatrician services</w:t>
      </w:r>
    </w:p>
    <w:tbl>
      <w:tblPr>
        <w:tblStyle w:val="GridTable4-Accent2"/>
        <w:tblW w:w="9072" w:type="dxa"/>
        <w:tblInd w:w="-5" w:type="dxa"/>
        <w:tblLook w:val="04A0" w:firstRow="1" w:lastRow="0" w:firstColumn="1" w:lastColumn="0" w:noHBand="0" w:noVBand="1"/>
        <w:tblCaption w:val="Table 5. Geriatrician services introduced 6 April 2020"/>
        <w:tblDescription w:val="A table showing geriatrician services introduced on 6 April 2020, with separate columns for existing (face-to-face) items, telehealth (videoconference) items and telephone items."/>
      </w:tblPr>
      <w:tblGrid>
        <w:gridCol w:w="4395"/>
        <w:gridCol w:w="1701"/>
        <w:gridCol w:w="1559"/>
        <w:gridCol w:w="1417"/>
      </w:tblGrid>
      <w:tr w:rsidR="00F83E68" w:rsidRPr="00FD5A44" w14:paraId="7074F57D" w14:textId="77777777" w:rsidTr="00F432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4F8BE4A" w14:textId="77777777" w:rsidR="00F83E68" w:rsidRPr="00FD5A44" w:rsidRDefault="00F83E68" w:rsidP="00F83E68">
            <w:pPr>
              <w:rPr>
                <w:rFonts w:cs="Arial"/>
                <w:color w:val="FFFFFF" w:themeColor="background1"/>
                <w:sz w:val="24"/>
                <w:lang w:eastAsia="en-AU"/>
              </w:rPr>
            </w:pPr>
            <w:r w:rsidRPr="00FD5A44">
              <w:rPr>
                <w:rFonts w:cs="Arial"/>
                <w:color w:val="FFFFFF" w:themeColor="background1"/>
                <w:sz w:val="24"/>
                <w:lang w:eastAsia="en-AU"/>
              </w:rPr>
              <w:t>Service</w:t>
            </w:r>
          </w:p>
        </w:tc>
        <w:tc>
          <w:tcPr>
            <w:tcW w:w="1701" w:type="dxa"/>
            <w:vAlign w:val="center"/>
          </w:tcPr>
          <w:p w14:paraId="55A8CD6F"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Face-to-face items</w:t>
            </w:r>
          </w:p>
        </w:tc>
        <w:tc>
          <w:tcPr>
            <w:tcW w:w="1559" w:type="dxa"/>
            <w:vAlign w:val="center"/>
          </w:tcPr>
          <w:p w14:paraId="47DE1023"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Video items</w:t>
            </w:r>
          </w:p>
        </w:tc>
        <w:tc>
          <w:tcPr>
            <w:tcW w:w="1417" w:type="dxa"/>
            <w:vAlign w:val="center"/>
          </w:tcPr>
          <w:p w14:paraId="2D1DEF60"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Phone items</w:t>
            </w:r>
          </w:p>
        </w:tc>
      </w:tr>
      <w:tr w:rsidR="00F83E68" w:rsidRPr="00FD5A44" w14:paraId="1AD86C2C"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1FA9E6A" w14:textId="77777777" w:rsidR="00F83E68" w:rsidRPr="00FD5A44" w:rsidRDefault="00F83E68" w:rsidP="00F83E68">
            <w:pPr>
              <w:rPr>
                <w:rFonts w:cs="Arial"/>
                <w:sz w:val="24"/>
                <w:lang w:eastAsia="en-AU"/>
              </w:rPr>
            </w:pPr>
            <w:r w:rsidRPr="00FD5A44">
              <w:rPr>
                <w:rFonts w:cs="Arial"/>
                <w:sz w:val="24"/>
                <w:lang w:eastAsia="en-AU"/>
              </w:rPr>
              <w:t>Geriatrician, prepare an assessment and management plan, patient at least 65 years, more than 60 minutes</w:t>
            </w:r>
          </w:p>
        </w:tc>
        <w:tc>
          <w:tcPr>
            <w:tcW w:w="1701" w:type="dxa"/>
            <w:vAlign w:val="center"/>
          </w:tcPr>
          <w:p w14:paraId="169C38D4"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141</w:t>
            </w:r>
          </w:p>
        </w:tc>
        <w:tc>
          <w:tcPr>
            <w:tcW w:w="1559" w:type="dxa"/>
            <w:vAlign w:val="center"/>
          </w:tcPr>
          <w:p w14:paraId="023CDB36"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92623</w:t>
            </w:r>
          </w:p>
        </w:tc>
        <w:tc>
          <w:tcPr>
            <w:tcW w:w="1417" w:type="dxa"/>
            <w:vAlign w:val="center"/>
          </w:tcPr>
          <w:p w14:paraId="73B250F3"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p>
        </w:tc>
      </w:tr>
      <w:tr w:rsidR="00F83E68" w:rsidRPr="00FD5A44" w14:paraId="7E15B32D" w14:textId="77777777" w:rsidTr="00F432DC">
        <w:tc>
          <w:tcPr>
            <w:cnfStyle w:val="001000000000" w:firstRow="0" w:lastRow="0" w:firstColumn="1" w:lastColumn="0" w:oddVBand="0" w:evenVBand="0" w:oddHBand="0" w:evenHBand="0" w:firstRowFirstColumn="0" w:firstRowLastColumn="0" w:lastRowFirstColumn="0" w:lastRowLastColumn="0"/>
            <w:tcW w:w="4395" w:type="dxa"/>
            <w:vAlign w:val="center"/>
          </w:tcPr>
          <w:p w14:paraId="7BBAA222" w14:textId="77777777" w:rsidR="00F83E68" w:rsidRPr="00FD5A44" w:rsidRDefault="00F83E68" w:rsidP="00F83E68">
            <w:pPr>
              <w:pStyle w:val="Tabletextleft"/>
              <w:rPr>
                <w:rFonts w:cs="Arial"/>
                <w:b/>
                <w:sz w:val="24"/>
                <w:szCs w:val="24"/>
              </w:rPr>
            </w:pPr>
            <w:r w:rsidRPr="00FD5A44">
              <w:rPr>
                <w:rFonts w:cs="Arial"/>
                <w:b/>
                <w:sz w:val="24"/>
                <w:szCs w:val="24"/>
              </w:rPr>
              <w:t>Geriatrician, review a management plan, more than 30 minutes</w:t>
            </w:r>
          </w:p>
        </w:tc>
        <w:tc>
          <w:tcPr>
            <w:tcW w:w="1701" w:type="dxa"/>
            <w:vAlign w:val="center"/>
          </w:tcPr>
          <w:p w14:paraId="41EADD80"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143</w:t>
            </w:r>
          </w:p>
        </w:tc>
        <w:tc>
          <w:tcPr>
            <w:tcW w:w="1559" w:type="dxa"/>
            <w:vAlign w:val="center"/>
          </w:tcPr>
          <w:p w14:paraId="6A4047BF"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92624</w:t>
            </w:r>
          </w:p>
        </w:tc>
        <w:tc>
          <w:tcPr>
            <w:tcW w:w="1417" w:type="dxa"/>
            <w:vAlign w:val="center"/>
          </w:tcPr>
          <w:p w14:paraId="3F0D58D5" w14:textId="79182FB8" w:rsidR="00F83E68" w:rsidRPr="00FD5A44" w:rsidRDefault="005E5501"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92448</w:t>
            </w:r>
          </w:p>
        </w:tc>
      </w:tr>
    </w:tbl>
    <w:p w14:paraId="2187B059" w14:textId="77777777" w:rsidR="00F83E68" w:rsidRPr="00FD5A44" w:rsidRDefault="00F83E68" w:rsidP="00F432DC">
      <w:pPr>
        <w:rPr>
          <w:rFonts w:cs="Arial"/>
          <w:sz w:val="24"/>
        </w:rPr>
      </w:pPr>
      <w:r w:rsidRPr="00FD5A44">
        <w:rPr>
          <w:rFonts w:cs="Arial"/>
          <w:sz w:val="24"/>
        </w:rPr>
        <w:t>Table 6. Consultant Psychiatrist services</w:t>
      </w:r>
    </w:p>
    <w:tbl>
      <w:tblPr>
        <w:tblStyle w:val="GridTable4-Accent2"/>
        <w:tblW w:w="9072" w:type="dxa"/>
        <w:tblInd w:w="-5" w:type="dxa"/>
        <w:tblLook w:val="04A0" w:firstRow="1" w:lastRow="0" w:firstColumn="1" w:lastColumn="0" w:noHBand="0" w:noVBand="1"/>
        <w:tblCaption w:val="Table 6. Consultant Psychiatrist services introduced 13 March 2020"/>
        <w:tblDescription w:val="A table showing consultant psychiatrist services introduced on 13 March 2020, with separate columns for existing (face-to-face) items, telehealth (videoconference) items and telephone items."/>
      </w:tblPr>
      <w:tblGrid>
        <w:gridCol w:w="4395"/>
        <w:gridCol w:w="1701"/>
        <w:gridCol w:w="1559"/>
        <w:gridCol w:w="1417"/>
      </w:tblGrid>
      <w:tr w:rsidR="00F83E68" w:rsidRPr="00FD5A44" w14:paraId="037841CD" w14:textId="77777777" w:rsidTr="00F432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D85087E" w14:textId="77777777" w:rsidR="00F83E68" w:rsidRPr="00FD5A44" w:rsidRDefault="00F83E68" w:rsidP="00F83E68">
            <w:pPr>
              <w:rPr>
                <w:rFonts w:cs="Arial"/>
                <w:color w:val="FFFFFF" w:themeColor="background1"/>
                <w:sz w:val="24"/>
                <w:lang w:eastAsia="en-AU"/>
              </w:rPr>
            </w:pPr>
            <w:r w:rsidRPr="00FD5A44">
              <w:rPr>
                <w:rFonts w:cs="Arial"/>
                <w:color w:val="FFFFFF" w:themeColor="background1"/>
                <w:sz w:val="24"/>
                <w:lang w:eastAsia="en-AU"/>
              </w:rPr>
              <w:t>Service</w:t>
            </w:r>
          </w:p>
        </w:tc>
        <w:tc>
          <w:tcPr>
            <w:tcW w:w="1701" w:type="dxa"/>
            <w:vAlign w:val="center"/>
          </w:tcPr>
          <w:p w14:paraId="23A3B286"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Face-to-face items</w:t>
            </w:r>
          </w:p>
        </w:tc>
        <w:tc>
          <w:tcPr>
            <w:tcW w:w="1559" w:type="dxa"/>
            <w:vAlign w:val="center"/>
          </w:tcPr>
          <w:p w14:paraId="5A04961F"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Video items</w:t>
            </w:r>
          </w:p>
        </w:tc>
        <w:tc>
          <w:tcPr>
            <w:tcW w:w="1417" w:type="dxa"/>
            <w:vAlign w:val="center"/>
          </w:tcPr>
          <w:p w14:paraId="7CFFFC20"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Phone items</w:t>
            </w:r>
          </w:p>
        </w:tc>
      </w:tr>
      <w:tr w:rsidR="00F83E68" w:rsidRPr="00FD5A44" w14:paraId="5B8FD504"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78117C9" w14:textId="77777777" w:rsidR="00F83E68" w:rsidRPr="00FD5A44" w:rsidRDefault="00F83E68" w:rsidP="00F83E68">
            <w:pPr>
              <w:rPr>
                <w:rFonts w:cs="Arial"/>
                <w:sz w:val="24"/>
                <w:lang w:eastAsia="en-AU"/>
              </w:rPr>
            </w:pPr>
            <w:r w:rsidRPr="00FD5A44">
              <w:rPr>
                <w:rFonts w:cs="Arial"/>
                <w:sz w:val="24"/>
                <w:lang w:eastAsia="en-AU"/>
              </w:rPr>
              <w:t>Consultant psychiatrist. Consultation, not more than 15 minutes</w:t>
            </w:r>
          </w:p>
        </w:tc>
        <w:tc>
          <w:tcPr>
            <w:tcW w:w="1701" w:type="dxa"/>
            <w:vAlign w:val="center"/>
          </w:tcPr>
          <w:p w14:paraId="6E7A4A57"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300</w:t>
            </w:r>
          </w:p>
        </w:tc>
        <w:tc>
          <w:tcPr>
            <w:tcW w:w="1559" w:type="dxa"/>
            <w:vAlign w:val="center"/>
          </w:tcPr>
          <w:p w14:paraId="6482E104"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91827</w:t>
            </w:r>
          </w:p>
        </w:tc>
        <w:tc>
          <w:tcPr>
            <w:tcW w:w="1417" w:type="dxa"/>
            <w:vAlign w:val="center"/>
          </w:tcPr>
          <w:p w14:paraId="0BFF4893"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91837*</w:t>
            </w:r>
          </w:p>
        </w:tc>
      </w:tr>
      <w:tr w:rsidR="00F83E68" w:rsidRPr="00FD5A44" w14:paraId="5038C17C" w14:textId="77777777" w:rsidTr="00F432DC">
        <w:tc>
          <w:tcPr>
            <w:cnfStyle w:val="001000000000" w:firstRow="0" w:lastRow="0" w:firstColumn="1" w:lastColumn="0" w:oddVBand="0" w:evenVBand="0" w:oddHBand="0" w:evenHBand="0" w:firstRowFirstColumn="0" w:firstRowLastColumn="0" w:lastRowFirstColumn="0" w:lastRowLastColumn="0"/>
            <w:tcW w:w="4395" w:type="dxa"/>
            <w:vAlign w:val="center"/>
          </w:tcPr>
          <w:p w14:paraId="37EBDB56" w14:textId="77777777" w:rsidR="00F83E68" w:rsidRPr="00FD5A44" w:rsidRDefault="00F83E68" w:rsidP="00F83E68">
            <w:pPr>
              <w:rPr>
                <w:rFonts w:cs="Arial"/>
                <w:sz w:val="24"/>
                <w:lang w:eastAsia="en-AU"/>
              </w:rPr>
            </w:pPr>
            <w:r w:rsidRPr="00FD5A44">
              <w:rPr>
                <w:rFonts w:cs="Arial"/>
                <w:sz w:val="24"/>
                <w:lang w:eastAsia="en-AU"/>
              </w:rPr>
              <w:t>Consultant psychiatrist. Consultation, 15 to 30 minutes</w:t>
            </w:r>
          </w:p>
        </w:tc>
        <w:tc>
          <w:tcPr>
            <w:tcW w:w="1701" w:type="dxa"/>
            <w:vAlign w:val="center"/>
          </w:tcPr>
          <w:p w14:paraId="6E4A46C2"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302</w:t>
            </w:r>
          </w:p>
        </w:tc>
        <w:tc>
          <w:tcPr>
            <w:tcW w:w="1559" w:type="dxa"/>
            <w:vAlign w:val="center"/>
          </w:tcPr>
          <w:p w14:paraId="32897C7C"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91828</w:t>
            </w:r>
          </w:p>
        </w:tc>
        <w:tc>
          <w:tcPr>
            <w:tcW w:w="1417" w:type="dxa"/>
            <w:vAlign w:val="center"/>
          </w:tcPr>
          <w:p w14:paraId="5F796C33"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91838*</w:t>
            </w:r>
          </w:p>
        </w:tc>
      </w:tr>
      <w:tr w:rsidR="00F83E68" w:rsidRPr="00FD5A44" w14:paraId="32947138"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C638D89" w14:textId="77777777" w:rsidR="00F83E68" w:rsidRPr="00FD5A44" w:rsidRDefault="00F83E68" w:rsidP="00F83E68">
            <w:pPr>
              <w:rPr>
                <w:rFonts w:cs="Arial"/>
                <w:sz w:val="24"/>
                <w:lang w:eastAsia="en-AU"/>
              </w:rPr>
            </w:pPr>
            <w:r w:rsidRPr="00FD5A44">
              <w:rPr>
                <w:rFonts w:cs="Arial"/>
                <w:sz w:val="24"/>
                <w:lang w:eastAsia="en-AU"/>
              </w:rPr>
              <w:t>Consultant psychiatrist. Consultation, 30 to 45 minutes</w:t>
            </w:r>
          </w:p>
        </w:tc>
        <w:tc>
          <w:tcPr>
            <w:tcW w:w="1701" w:type="dxa"/>
            <w:vAlign w:val="center"/>
          </w:tcPr>
          <w:p w14:paraId="0239924C"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304</w:t>
            </w:r>
          </w:p>
        </w:tc>
        <w:tc>
          <w:tcPr>
            <w:tcW w:w="1559" w:type="dxa"/>
            <w:vAlign w:val="center"/>
          </w:tcPr>
          <w:p w14:paraId="75AE12B2"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91829</w:t>
            </w:r>
          </w:p>
        </w:tc>
        <w:tc>
          <w:tcPr>
            <w:tcW w:w="1417" w:type="dxa"/>
            <w:vAlign w:val="center"/>
          </w:tcPr>
          <w:p w14:paraId="32103380"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91839*</w:t>
            </w:r>
          </w:p>
        </w:tc>
      </w:tr>
      <w:tr w:rsidR="00F83E68" w:rsidRPr="00FD5A44" w14:paraId="1DB57C3C" w14:textId="77777777" w:rsidTr="00F432DC">
        <w:tc>
          <w:tcPr>
            <w:cnfStyle w:val="001000000000" w:firstRow="0" w:lastRow="0" w:firstColumn="1" w:lastColumn="0" w:oddVBand="0" w:evenVBand="0" w:oddHBand="0" w:evenHBand="0" w:firstRowFirstColumn="0" w:firstRowLastColumn="0" w:lastRowFirstColumn="0" w:lastRowLastColumn="0"/>
            <w:tcW w:w="4395" w:type="dxa"/>
            <w:vAlign w:val="center"/>
          </w:tcPr>
          <w:p w14:paraId="03C84245" w14:textId="77777777" w:rsidR="00F83E68" w:rsidRPr="00FD5A44" w:rsidRDefault="00F83E68" w:rsidP="00F83E68">
            <w:pPr>
              <w:rPr>
                <w:rFonts w:cs="Arial"/>
                <w:sz w:val="24"/>
                <w:lang w:eastAsia="en-AU"/>
              </w:rPr>
            </w:pPr>
            <w:r w:rsidRPr="00FD5A44">
              <w:rPr>
                <w:rFonts w:cs="Arial"/>
                <w:sz w:val="24"/>
                <w:lang w:eastAsia="en-AU"/>
              </w:rPr>
              <w:t>Consultant psychiatrist. Consultation, 45 to 75 minutes</w:t>
            </w:r>
          </w:p>
        </w:tc>
        <w:tc>
          <w:tcPr>
            <w:tcW w:w="1701" w:type="dxa"/>
            <w:vAlign w:val="center"/>
          </w:tcPr>
          <w:p w14:paraId="34A30B23"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306</w:t>
            </w:r>
          </w:p>
        </w:tc>
        <w:tc>
          <w:tcPr>
            <w:tcW w:w="1559" w:type="dxa"/>
            <w:vAlign w:val="center"/>
          </w:tcPr>
          <w:p w14:paraId="6DEF0EC9"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91830</w:t>
            </w:r>
          </w:p>
        </w:tc>
        <w:tc>
          <w:tcPr>
            <w:tcW w:w="1417" w:type="dxa"/>
            <w:vAlign w:val="center"/>
          </w:tcPr>
          <w:p w14:paraId="07172365"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p>
        </w:tc>
      </w:tr>
      <w:tr w:rsidR="00F83E68" w:rsidRPr="00FD5A44" w14:paraId="260E3FF6"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66BD985" w14:textId="77777777" w:rsidR="00F83E68" w:rsidRPr="00FD5A44" w:rsidRDefault="00F83E68" w:rsidP="00F83E68">
            <w:pPr>
              <w:pStyle w:val="Tabletextleft"/>
              <w:rPr>
                <w:rFonts w:cs="Arial"/>
                <w:b/>
                <w:sz w:val="24"/>
                <w:szCs w:val="24"/>
              </w:rPr>
            </w:pPr>
            <w:r w:rsidRPr="00FD5A44">
              <w:rPr>
                <w:rFonts w:cs="Arial"/>
                <w:b/>
                <w:sz w:val="24"/>
                <w:szCs w:val="24"/>
              </w:rPr>
              <w:t>Consultant psychiatrist. Consultation, more than 75 minutes</w:t>
            </w:r>
          </w:p>
        </w:tc>
        <w:tc>
          <w:tcPr>
            <w:tcW w:w="1701" w:type="dxa"/>
            <w:vAlign w:val="center"/>
          </w:tcPr>
          <w:p w14:paraId="0284A75A" w14:textId="77777777" w:rsidR="00F83E68" w:rsidRPr="00FD5A44" w:rsidRDefault="00F83E68" w:rsidP="00F83E68">
            <w:pPr>
              <w:pStyle w:val="Tabletextleft"/>
              <w:cnfStyle w:val="000000100000" w:firstRow="0" w:lastRow="0" w:firstColumn="0" w:lastColumn="0" w:oddVBand="0" w:evenVBand="0" w:oddHBand="1" w:evenHBand="0" w:firstRowFirstColumn="0" w:firstRowLastColumn="0" w:lastRowFirstColumn="0" w:lastRowLastColumn="0"/>
              <w:rPr>
                <w:rFonts w:cs="Arial"/>
                <w:b w:val="0"/>
                <w:sz w:val="24"/>
                <w:szCs w:val="24"/>
              </w:rPr>
            </w:pPr>
            <w:r w:rsidRPr="00FD5A44">
              <w:rPr>
                <w:rFonts w:cs="Arial"/>
                <w:b w:val="0"/>
                <w:sz w:val="24"/>
                <w:szCs w:val="24"/>
              </w:rPr>
              <w:t>308</w:t>
            </w:r>
          </w:p>
        </w:tc>
        <w:tc>
          <w:tcPr>
            <w:tcW w:w="1559" w:type="dxa"/>
            <w:vAlign w:val="center"/>
          </w:tcPr>
          <w:p w14:paraId="3614C79E" w14:textId="77777777" w:rsidR="00F83E68" w:rsidRPr="00FD5A44" w:rsidRDefault="00F83E68" w:rsidP="00F83E68">
            <w:pPr>
              <w:pStyle w:val="Tabletextleft"/>
              <w:cnfStyle w:val="000000100000" w:firstRow="0" w:lastRow="0" w:firstColumn="0" w:lastColumn="0" w:oddVBand="0" w:evenVBand="0" w:oddHBand="1" w:evenHBand="0" w:firstRowFirstColumn="0" w:firstRowLastColumn="0" w:lastRowFirstColumn="0" w:lastRowLastColumn="0"/>
              <w:rPr>
                <w:rFonts w:cs="Arial"/>
                <w:b w:val="0"/>
                <w:sz w:val="24"/>
                <w:szCs w:val="24"/>
              </w:rPr>
            </w:pPr>
            <w:r w:rsidRPr="00FD5A44">
              <w:rPr>
                <w:rFonts w:cs="Arial"/>
                <w:b w:val="0"/>
                <w:sz w:val="24"/>
                <w:szCs w:val="24"/>
              </w:rPr>
              <w:t>91831</w:t>
            </w:r>
          </w:p>
        </w:tc>
        <w:tc>
          <w:tcPr>
            <w:tcW w:w="1417" w:type="dxa"/>
            <w:vAlign w:val="center"/>
          </w:tcPr>
          <w:p w14:paraId="563ABA69" w14:textId="77777777" w:rsidR="00F83E68" w:rsidRPr="00FD5A44" w:rsidRDefault="00F83E68" w:rsidP="00F83E68">
            <w:pPr>
              <w:pStyle w:val="Tabletextleft"/>
              <w:cnfStyle w:val="000000100000" w:firstRow="0" w:lastRow="0" w:firstColumn="0" w:lastColumn="0" w:oddVBand="0" w:evenVBand="0" w:oddHBand="1" w:evenHBand="0" w:firstRowFirstColumn="0" w:firstRowLastColumn="0" w:lastRowFirstColumn="0" w:lastRowLastColumn="0"/>
              <w:rPr>
                <w:rFonts w:cs="Arial"/>
                <w:b w:val="0"/>
                <w:sz w:val="24"/>
                <w:szCs w:val="24"/>
              </w:rPr>
            </w:pPr>
          </w:p>
        </w:tc>
      </w:tr>
    </w:tbl>
    <w:p w14:paraId="0BB896D7" w14:textId="77777777" w:rsidR="00F83E68" w:rsidRPr="00FD5A44" w:rsidRDefault="00F83E68" w:rsidP="00F432DC">
      <w:pPr>
        <w:rPr>
          <w:rFonts w:cs="Arial"/>
          <w:i/>
          <w:iCs/>
          <w:sz w:val="24"/>
        </w:rPr>
      </w:pPr>
      <w:r w:rsidRPr="00FD5A44">
        <w:rPr>
          <w:rFonts w:cs="Arial"/>
          <w:i/>
          <w:iCs/>
          <w:sz w:val="24"/>
        </w:rPr>
        <w:t>*Where the attendance is after the first attendance as part of a single course of treatment</w:t>
      </w:r>
    </w:p>
    <w:p w14:paraId="437F5ABF" w14:textId="77777777" w:rsidR="00F83E68" w:rsidRPr="00FD5A44" w:rsidRDefault="00F83E68" w:rsidP="00F432DC">
      <w:pPr>
        <w:rPr>
          <w:rFonts w:cs="Arial"/>
          <w:sz w:val="24"/>
        </w:rPr>
      </w:pPr>
      <w:r w:rsidRPr="00FD5A44">
        <w:rPr>
          <w:rFonts w:cs="Arial"/>
          <w:sz w:val="24"/>
        </w:rPr>
        <w:lastRenderedPageBreak/>
        <w:t>Table 7. Consultant Psychiatrist services</w:t>
      </w:r>
    </w:p>
    <w:tbl>
      <w:tblPr>
        <w:tblStyle w:val="GridTable4-Accent2"/>
        <w:tblW w:w="9072" w:type="dxa"/>
        <w:tblInd w:w="-5" w:type="dxa"/>
        <w:tblLook w:val="04A0" w:firstRow="1" w:lastRow="0" w:firstColumn="1" w:lastColumn="0" w:noHBand="0" w:noVBand="1"/>
        <w:tblCaption w:val="Table 7. Consultant Psychiatrist services introduced 6 April 2020"/>
        <w:tblDescription w:val="A table showing consultant psychiatrist services introduced on 6 April 2020, with separate columns for existing (face-to-face) items, telehealth (videoconference) items and telephone items."/>
      </w:tblPr>
      <w:tblGrid>
        <w:gridCol w:w="4395"/>
        <w:gridCol w:w="1701"/>
        <w:gridCol w:w="1559"/>
        <w:gridCol w:w="1417"/>
      </w:tblGrid>
      <w:tr w:rsidR="00F83E68" w:rsidRPr="00FD5A44" w14:paraId="0508607A" w14:textId="77777777" w:rsidTr="00F432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7C92469" w14:textId="77777777" w:rsidR="00F83E68" w:rsidRPr="00FD5A44" w:rsidRDefault="00F83E68" w:rsidP="00F83E68">
            <w:pPr>
              <w:rPr>
                <w:rFonts w:cs="Arial"/>
                <w:color w:val="FFFFFF" w:themeColor="background1"/>
                <w:sz w:val="24"/>
                <w:lang w:eastAsia="en-AU"/>
              </w:rPr>
            </w:pPr>
            <w:r w:rsidRPr="00FD5A44">
              <w:rPr>
                <w:rFonts w:cs="Arial"/>
                <w:color w:val="FFFFFF" w:themeColor="background1"/>
                <w:sz w:val="24"/>
                <w:lang w:eastAsia="en-AU"/>
              </w:rPr>
              <w:t>Service</w:t>
            </w:r>
          </w:p>
        </w:tc>
        <w:tc>
          <w:tcPr>
            <w:tcW w:w="1701" w:type="dxa"/>
            <w:vAlign w:val="center"/>
          </w:tcPr>
          <w:p w14:paraId="4A868D83"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Face-to-face items</w:t>
            </w:r>
          </w:p>
        </w:tc>
        <w:tc>
          <w:tcPr>
            <w:tcW w:w="1559" w:type="dxa"/>
            <w:vAlign w:val="center"/>
          </w:tcPr>
          <w:p w14:paraId="26EFAB5D"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Video items</w:t>
            </w:r>
          </w:p>
        </w:tc>
        <w:tc>
          <w:tcPr>
            <w:tcW w:w="1417" w:type="dxa"/>
            <w:vAlign w:val="center"/>
          </w:tcPr>
          <w:p w14:paraId="538DE148"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Phone items</w:t>
            </w:r>
          </w:p>
        </w:tc>
      </w:tr>
      <w:tr w:rsidR="00F83E68" w:rsidRPr="00FD5A44" w14:paraId="5EDF30BB"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D69C937" w14:textId="77777777" w:rsidR="00F83E68" w:rsidRPr="00FD5A44" w:rsidRDefault="00F83E68" w:rsidP="00F83E68">
            <w:pPr>
              <w:rPr>
                <w:rFonts w:cs="Arial"/>
                <w:sz w:val="24"/>
                <w:lang w:eastAsia="en-AU"/>
              </w:rPr>
            </w:pPr>
            <w:r w:rsidRPr="00FD5A44">
              <w:rPr>
                <w:rFonts w:cs="Arial"/>
                <w:sz w:val="24"/>
                <w:lang w:eastAsia="en-AU"/>
              </w:rPr>
              <w:t>Consultant psychiatrist, prepare a treatment and management plan, patient under 13 years with autism or another pervasive developmental disorder, at least 45 minutes</w:t>
            </w:r>
          </w:p>
        </w:tc>
        <w:tc>
          <w:tcPr>
            <w:tcW w:w="1701" w:type="dxa"/>
            <w:vAlign w:val="center"/>
          </w:tcPr>
          <w:p w14:paraId="4E5912DA"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289</w:t>
            </w:r>
          </w:p>
        </w:tc>
        <w:tc>
          <w:tcPr>
            <w:tcW w:w="1559" w:type="dxa"/>
            <w:vAlign w:val="center"/>
          </w:tcPr>
          <w:p w14:paraId="4A352729"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92434</w:t>
            </w:r>
          </w:p>
        </w:tc>
        <w:tc>
          <w:tcPr>
            <w:tcW w:w="1417" w:type="dxa"/>
            <w:vAlign w:val="center"/>
          </w:tcPr>
          <w:p w14:paraId="742C344C"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p>
        </w:tc>
      </w:tr>
      <w:tr w:rsidR="00F83E68" w:rsidRPr="00FD5A44" w14:paraId="35C688C1" w14:textId="77777777" w:rsidTr="00F432DC">
        <w:tc>
          <w:tcPr>
            <w:cnfStyle w:val="001000000000" w:firstRow="0" w:lastRow="0" w:firstColumn="1" w:lastColumn="0" w:oddVBand="0" w:evenVBand="0" w:oddHBand="0" w:evenHBand="0" w:firstRowFirstColumn="0" w:firstRowLastColumn="0" w:lastRowFirstColumn="0" w:lastRowLastColumn="0"/>
            <w:tcW w:w="4395" w:type="dxa"/>
            <w:vAlign w:val="center"/>
          </w:tcPr>
          <w:p w14:paraId="335D7025" w14:textId="77777777" w:rsidR="00F83E68" w:rsidRPr="00FD5A44" w:rsidRDefault="00F83E68" w:rsidP="00F83E68">
            <w:pPr>
              <w:rPr>
                <w:rFonts w:cs="Arial"/>
                <w:sz w:val="24"/>
                <w:lang w:eastAsia="en-AU"/>
              </w:rPr>
            </w:pPr>
            <w:r w:rsidRPr="00FD5A44">
              <w:rPr>
                <w:rFonts w:cs="Arial"/>
                <w:sz w:val="24"/>
                <w:lang w:eastAsia="en-AU"/>
              </w:rPr>
              <w:t>Consultant psychiatrist, prepare a management plan, more than 45 minutes</w:t>
            </w:r>
          </w:p>
        </w:tc>
        <w:tc>
          <w:tcPr>
            <w:tcW w:w="1701" w:type="dxa"/>
            <w:vAlign w:val="center"/>
          </w:tcPr>
          <w:p w14:paraId="22A3F8BC"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291</w:t>
            </w:r>
          </w:p>
        </w:tc>
        <w:tc>
          <w:tcPr>
            <w:tcW w:w="1559" w:type="dxa"/>
            <w:vAlign w:val="center"/>
          </w:tcPr>
          <w:p w14:paraId="078A0E1B"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92435</w:t>
            </w:r>
          </w:p>
        </w:tc>
        <w:tc>
          <w:tcPr>
            <w:tcW w:w="1417" w:type="dxa"/>
            <w:vAlign w:val="center"/>
          </w:tcPr>
          <w:p w14:paraId="564BD210"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p>
        </w:tc>
      </w:tr>
      <w:tr w:rsidR="00F83E68" w:rsidRPr="00FD5A44" w14:paraId="04F6E5BD"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1C791EE5" w14:textId="77777777" w:rsidR="00F83E68" w:rsidRPr="00FD5A44" w:rsidRDefault="00F83E68" w:rsidP="00F83E68">
            <w:pPr>
              <w:rPr>
                <w:rFonts w:cs="Arial"/>
                <w:sz w:val="24"/>
                <w:lang w:eastAsia="en-AU"/>
              </w:rPr>
            </w:pPr>
            <w:r w:rsidRPr="00FD5A44">
              <w:rPr>
                <w:rFonts w:cs="Arial"/>
                <w:sz w:val="24"/>
                <w:lang w:eastAsia="en-AU"/>
              </w:rPr>
              <w:t>Consultant psychiatrist, review management plan, 30 to 45 minutes</w:t>
            </w:r>
          </w:p>
        </w:tc>
        <w:tc>
          <w:tcPr>
            <w:tcW w:w="1701" w:type="dxa"/>
            <w:vAlign w:val="center"/>
          </w:tcPr>
          <w:p w14:paraId="6DA2F54E"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293</w:t>
            </w:r>
          </w:p>
        </w:tc>
        <w:tc>
          <w:tcPr>
            <w:tcW w:w="1559" w:type="dxa"/>
            <w:vAlign w:val="center"/>
          </w:tcPr>
          <w:p w14:paraId="1FA9A16E"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92436</w:t>
            </w:r>
          </w:p>
        </w:tc>
        <w:tc>
          <w:tcPr>
            <w:tcW w:w="1417" w:type="dxa"/>
            <w:vAlign w:val="center"/>
          </w:tcPr>
          <w:p w14:paraId="49A2C89C" w14:textId="44923EEB" w:rsidR="00F83E68" w:rsidRPr="00FD5A44" w:rsidRDefault="00262FA7"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92444</w:t>
            </w:r>
          </w:p>
        </w:tc>
      </w:tr>
      <w:tr w:rsidR="00F83E68" w:rsidRPr="00FD5A44" w14:paraId="257B1943" w14:textId="77777777" w:rsidTr="00F432DC">
        <w:tc>
          <w:tcPr>
            <w:cnfStyle w:val="001000000000" w:firstRow="0" w:lastRow="0" w:firstColumn="1" w:lastColumn="0" w:oddVBand="0" w:evenVBand="0" w:oddHBand="0" w:evenHBand="0" w:firstRowFirstColumn="0" w:firstRowLastColumn="0" w:lastRowFirstColumn="0" w:lastRowLastColumn="0"/>
            <w:tcW w:w="4395" w:type="dxa"/>
            <w:vAlign w:val="center"/>
          </w:tcPr>
          <w:p w14:paraId="0ED827B4" w14:textId="77777777" w:rsidR="00F83E68" w:rsidRPr="00FD5A44" w:rsidRDefault="00F83E68" w:rsidP="00F83E68">
            <w:pPr>
              <w:rPr>
                <w:rFonts w:cs="Arial"/>
                <w:sz w:val="24"/>
                <w:lang w:eastAsia="en-AU"/>
              </w:rPr>
            </w:pPr>
            <w:r w:rsidRPr="00FD5A44">
              <w:rPr>
                <w:rFonts w:cs="Arial"/>
                <w:sz w:val="24"/>
                <w:lang w:eastAsia="en-AU"/>
              </w:rPr>
              <w:t xml:space="preserve">Consultant psychiatrist, attendance, new patient (or has not received attendance in preceding 24 </w:t>
            </w:r>
            <w:proofErr w:type="spellStart"/>
            <w:r w:rsidRPr="00FD5A44">
              <w:rPr>
                <w:rFonts w:cs="Arial"/>
                <w:sz w:val="24"/>
                <w:lang w:eastAsia="en-AU"/>
              </w:rPr>
              <w:t>mths</w:t>
            </w:r>
            <w:proofErr w:type="spellEnd"/>
            <w:r w:rsidRPr="00FD5A44">
              <w:rPr>
                <w:rFonts w:cs="Arial"/>
                <w:sz w:val="24"/>
                <w:lang w:eastAsia="en-AU"/>
              </w:rPr>
              <w:t>), more than 45 minutes</w:t>
            </w:r>
          </w:p>
        </w:tc>
        <w:tc>
          <w:tcPr>
            <w:tcW w:w="1701" w:type="dxa"/>
            <w:vAlign w:val="center"/>
          </w:tcPr>
          <w:p w14:paraId="1577E608"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296</w:t>
            </w:r>
          </w:p>
        </w:tc>
        <w:tc>
          <w:tcPr>
            <w:tcW w:w="1559" w:type="dxa"/>
            <w:vAlign w:val="center"/>
          </w:tcPr>
          <w:p w14:paraId="33C078E1"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92437</w:t>
            </w:r>
          </w:p>
        </w:tc>
        <w:tc>
          <w:tcPr>
            <w:tcW w:w="1417" w:type="dxa"/>
            <w:vAlign w:val="center"/>
          </w:tcPr>
          <w:p w14:paraId="79EA1D83"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p>
        </w:tc>
      </w:tr>
      <w:tr w:rsidR="00F83E68" w:rsidRPr="00FD5A44" w14:paraId="7DF15659"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E84DDC0" w14:textId="77777777" w:rsidR="00F83E68" w:rsidRPr="00FD5A44" w:rsidRDefault="00F83E68" w:rsidP="00F83E68">
            <w:pPr>
              <w:rPr>
                <w:rFonts w:cs="Arial"/>
                <w:sz w:val="24"/>
                <w:lang w:eastAsia="en-AU"/>
              </w:rPr>
            </w:pPr>
            <w:r w:rsidRPr="00FD5A44">
              <w:rPr>
                <w:rFonts w:cs="Arial"/>
                <w:sz w:val="24"/>
                <w:lang w:eastAsia="en-AU"/>
              </w:rPr>
              <w:t xml:space="preserve">Consultant psychiatrist, interview of a person other than patient, </w:t>
            </w:r>
            <w:proofErr w:type="gramStart"/>
            <w:r w:rsidRPr="00FD5A44">
              <w:rPr>
                <w:rFonts w:cs="Arial"/>
                <w:sz w:val="24"/>
                <w:lang w:eastAsia="en-AU"/>
              </w:rPr>
              <w:t>in the course of</w:t>
            </w:r>
            <w:proofErr w:type="gramEnd"/>
            <w:r w:rsidRPr="00FD5A44">
              <w:rPr>
                <w:rFonts w:cs="Arial"/>
                <w:sz w:val="24"/>
                <w:lang w:eastAsia="en-AU"/>
              </w:rPr>
              <w:t xml:space="preserve"> initial diagnostic evaluation of patient, 20 to 45 minutes</w:t>
            </w:r>
          </w:p>
        </w:tc>
        <w:tc>
          <w:tcPr>
            <w:tcW w:w="1701" w:type="dxa"/>
            <w:vAlign w:val="center"/>
          </w:tcPr>
          <w:p w14:paraId="4A3C1AB7"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348</w:t>
            </w:r>
          </w:p>
        </w:tc>
        <w:tc>
          <w:tcPr>
            <w:tcW w:w="1559" w:type="dxa"/>
            <w:vAlign w:val="center"/>
          </w:tcPr>
          <w:p w14:paraId="7ED9C401"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92458</w:t>
            </w:r>
          </w:p>
        </w:tc>
        <w:tc>
          <w:tcPr>
            <w:tcW w:w="1417" w:type="dxa"/>
            <w:vAlign w:val="center"/>
          </w:tcPr>
          <w:p w14:paraId="03415F4A"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p>
        </w:tc>
      </w:tr>
      <w:tr w:rsidR="00F83E68" w:rsidRPr="00FD5A44" w14:paraId="02D7FE7B" w14:textId="77777777" w:rsidTr="00F432DC">
        <w:tc>
          <w:tcPr>
            <w:cnfStyle w:val="001000000000" w:firstRow="0" w:lastRow="0" w:firstColumn="1" w:lastColumn="0" w:oddVBand="0" w:evenVBand="0" w:oddHBand="0" w:evenHBand="0" w:firstRowFirstColumn="0" w:firstRowLastColumn="0" w:lastRowFirstColumn="0" w:lastRowLastColumn="0"/>
            <w:tcW w:w="4395" w:type="dxa"/>
            <w:vAlign w:val="center"/>
          </w:tcPr>
          <w:p w14:paraId="2E8A8494" w14:textId="77777777" w:rsidR="00F83E68" w:rsidRPr="00FD5A44" w:rsidRDefault="00F83E68" w:rsidP="00F83E68">
            <w:pPr>
              <w:rPr>
                <w:rFonts w:cs="Arial"/>
                <w:sz w:val="24"/>
                <w:lang w:eastAsia="en-AU"/>
              </w:rPr>
            </w:pPr>
            <w:r w:rsidRPr="00FD5A44">
              <w:rPr>
                <w:rFonts w:cs="Arial"/>
                <w:sz w:val="24"/>
                <w:lang w:eastAsia="en-AU"/>
              </w:rPr>
              <w:t xml:space="preserve">Consultant psychiatrist, interview of a person other than patient, </w:t>
            </w:r>
            <w:proofErr w:type="gramStart"/>
            <w:r w:rsidRPr="00FD5A44">
              <w:rPr>
                <w:rFonts w:cs="Arial"/>
                <w:sz w:val="24"/>
                <w:lang w:eastAsia="en-AU"/>
              </w:rPr>
              <w:t>in the course of</w:t>
            </w:r>
            <w:proofErr w:type="gramEnd"/>
            <w:r w:rsidRPr="00FD5A44">
              <w:rPr>
                <w:rFonts w:cs="Arial"/>
                <w:sz w:val="24"/>
                <w:lang w:eastAsia="en-AU"/>
              </w:rPr>
              <w:t xml:space="preserve"> initial diagnostic evaluation of patient, 45 minutes or more</w:t>
            </w:r>
          </w:p>
        </w:tc>
        <w:tc>
          <w:tcPr>
            <w:tcW w:w="1701" w:type="dxa"/>
            <w:vAlign w:val="center"/>
          </w:tcPr>
          <w:p w14:paraId="130CF012"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350</w:t>
            </w:r>
          </w:p>
        </w:tc>
        <w:tc>
          <w:tcPr>
            <w:tcW w:w="1559" w:type="dxa"/>
            <w:vAlign w:val="center"/>
          </w:tcPr>
          <w:p w14:paraId="72628EE5"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92459</w:t>
            </w:r>
          </w:p>
        </w:tc>
        <w:tc>
          <w:tcPr>
            <w:tcW w:w="1417" w:type="dxa"/>
            <w:vAlign w:val="center"/>
          </w:tcPr>
          <w:p w14:paraId="4A10D569"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p>
        </w:tc>
      </w:tr>
      <w:tr w:rsidR="00F83E68" w:rsidRPr="00FD5A44" w14:paraId="7A57CB60"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34A664A" w14:textId="77777777" w:rsidR="00F83E68" w:rsidRPr="00FD5A44" w:rsidRDefault="00F83E68" w:rsidP="00F83E68">
            <w:pPr>
              <w:pStyle w:val="Tabletextleft"/>
              <w:rPr>
                <w:rFonts w:cs="Arial"/>
                <w:b/>
                <w:sz w:val="24"/>
                <w:szCs w:val="24"/>
              </w:rPr>
            </w:pPr>
            <w:r w:rsidRPr="00FD5A44">
              <w:rPr>
                <w:rFonts w:cs="Arial"/>
                <w:b/>
                <w:sz w:val="24"/>
                <w:szCs w:val="24"/>
              </w:rPr>
              <w:t xml:space="preserve">Consultant psychiatrist, interview of a person other than patient, </w:t>
            </w:r>
            <w:proofErr w:type="gramStart"/>
            <w:r w:rsidRPr="00FD5A44">
              <w:rPr>
                <w:rFonts w:cs="Arial"/>
                <w:b/>
                <w:sz w:val="24"/>
                <w:szCs w:val="24"/>
              </w:rPr>
              <w:t>in the course of</w:t>
            </w:r>
            <w:proofErr w:type="gramEnd"/>
            <w:r w:rsidRPr="00FD5A44">
              <w:rPr>
                <w:rFonts w:cs="Arial"/>
                <w:b/>
                <w:sz w:val="24"/>
                <w:szCs w:val="24"/>
              </w:rPr>
              <w:t xml:space="preserve"> continuing management of patient, not less than 20 minutes, not exceeding 4 attendances per calendar year  </w:t>
            </w:r>
          </w:p>
        </w:tc>
        <w:tc>
          <w:tcPr>
            <w:tcW w:w="1701" w:type="dxa"/>
            <w:vAlign w:val="center"/>
          </w:tcPr>
          <w:p w14:paraId="4842E1CD" w14:textId="77777777" w:rsidR="00F83E68" w:rsidRPr="00FD5A44" w:rsidRDefault="00F83E68" w:rsidP="00F83E68">
            <w:pPr>
              <w:pStyle w:val="Tabletextleft"/>
              <w:cnfStyle w:val="000000100000" w:firstRow="0" w:lastRow="0" w:firstColumn="0" w:lastColumn="0" w:oddVBand="0" w:evenVBand="0" w:oddHBand="1" w:evenHBand="0" w:firstRowFirstColumn="0" w:firstRowLastColumn="0" w:lastRowFirstColumn="0" w:lastRowLastColumn="0"/>
              <w:rPr>
                <w:rFonts w:cs="Arial"/>
                <w:b w:val="0"/>
                <w:sz w:val="24"/>
                <w:szCs w:val="24"/>
              </w:rPr>
            </w:pPr>
            <w:r w:rsidRPr="00FD5A44">
              <w:rPr>
                <w:rFonts w:cs="Arial"/>
                <w:b w:val="0"/>
                <w:sz w:val="24"/>
                <w:szCs w:val="24"/>
              </w:rPr>
              <w:t>352</w:t>
            </w:r>
          </w:p>
        </w:tc>
        <w:tc>
          <w:tcPr>
            <w:tcW w:w="1559" w:type="dxa"/>
            <w:vAlign w:val="center"/>
          </w:tcPr>
          <w:p w14:paraId="48DD59CD" w14:textId="77777777" w:rsidR="00F83E68" w:rsidRPr="00FD5A44" w:rsidRDefault="00F83E68" w:rsidP="00F83E68">
            <w:pPr>
              <w:pStyle w:val="Tabletextleft"/>
              <w:cnfStyle w:val="000000100000" w:firstRow="0" w:lastRow="0" w:firstColumn="0" w:lastColumn="0" w:oddVBand="0" w:evenVBand="0" w:oddHBand="1" w:evenHBand="0" w:firstRowFirstColumn="0" w:firstRowLastColumn="0" w:lastRowFirstColumn="0" w:lastRowLastColumn="0"/>
              <w:rPr>
                <w:rFonts w:cs="Arial"/>
                <w:b w:val="0"/>
                <w:sz w:val="24"/>
                <w:szCs w:val="24"/>
              </w:rPr>
            </w:pPr>
            <w:r w:rsidRPr="00FD5A44">
              <w:rPr>
                <w:rFonts w:cs="Arial"/>
                <w:b w:val="0"/>
                <w:sz w:val="24"/>
                <w:szCs w:val="24"/>
              </w:rPr>
              <w:t>92460</w:t>
            </w:r>
          </w:p>
        </w:tc>
        <w:tc>
          <w:tcPr>
            <w:tcW w:w="1417" w:type="dxa"/>
            <w:vAlign w:val="center"/>
          </w:tcPr>
          <w:p w14:paraId="6ECAEFA0" w14:textId="77777777" w:rsidR="00F83E68" w:rsidRPr="00FD5A44" w:rsidRDefault="00F83E68" w:rsidP="00F83E68">
            <w:pPr>
              <w:pStyle w:val="Tabletextleft"/>
              <w:cnfStyle w:val="000000100000" w:firstRow="0" w:lastRow="0" w:firstColumn="0" w:lastColumn="0" w:oddVBand="0" w:evenVBand="0" w:oddHBand="1" w:evenHBand="0" w:firstRowFirstColumn="0" w:firstRowLastColumn="0" w:lastRowFirstColumn="0" w:lastRowLastColumn="0"/>
              <w:rPr>
                <w:rFonts w:cs="Arial"/>
                <w:b w:val="0"/>
                <w:sz w:val="24"/>
                <w:szCs w:val="24"/>
              </w:rPr>
            </w:pPr>
          </w:p>
        </w:tc>
      </w:tr>
    </w:tbl>
    <w:p w14:paraId="152224A1" w14:textId="77777777" w:rsidR="00F83E68" w:rsidRPr="00FD5A44" w:rsidRDefault="00F83E68" w:rsidP="00F432DC">
      <w:pPr>
        <w:rPr>
          <w:rFonts w:cs="Arial"/>
          <w:sz w:val="24"/>
        </w:rPr>
      </w:pPr>
    </w:p>
    <w:p w14:paraId="59E3E69D" w14:textId="77777777" w:rsidR="00F83E68" w:rsidRPr="00FD5A44" w:rsidRDefault="00F83E68" w:rsidP="00F432DC">
      <w:pPr>
        <w:rPr>
          <w:rFonts w:cs="Arial"/>
          <w:sz w:val="24"/>
        </w:rPr>
      </w:pPr>
      <w:r w:rsidRPr="00FD5A44">
        <w:rPr>
          <w:rFonts w:cs="Arial"/>
          <w:sz w:val="24"/>
        </w:rPr>
        <w:t xml:space="preserve">Table 8. Consultant Psychiatrist services </w:t>
      </w:r>
    </w:p>
    <w:tbl>
      <w:tblPr>
        <w:tblStyle w:val="GridTable4-Accent2"/>
        <w:tblW w:w="9072" w:type="dxa"/>
        <w:tblInd w:w="-5" w:type="dxa"/>
        <w:tblLook w:val="04A0" w:firstRow="1" w:lastRow="0" w:firstColumn="1" w:lastColumn="0" w:noHBand="0" w:noVBand="1"/>
        <w:tblCaption w:val="Table 8. Consultant Psychiatrist services introduced 20 April 2020"/>
        <w:tblDescription w:val="A table showing consultant psychiatrist services introduced on 20 April 2020, with separate columns for existing (face-to-face) items, telehealth (videoconference) items and telephone items."/>
      </w:tblPr>
      <w:tblGrid>
        <w:gridCol w:w="4395"/>
        <w:gridCol w:w="1701"/>
        <w:gridCol w:w="1559"/>
        <w:gridCol w:w="1417"/>
      </w:tblGrid>
      <w:tr w:rsidR="00F83E68" w:rsidRPr="00FD5A44" w14:paraId="3D64645B" w14:textId="77777777" w:rsidTr="00F432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171302BC" w14:textId="77777777" w:rsidR="00F83E68" w:rsidRPr="00FD5A44" w:rsidRDefault="00F83E68" w:rsidP="00F83E68">
            <w:pPr>
              <w:rPr>
                <w:rFonts w:cs="Arial"/>
                <w:color w:val="FFFFFF" w:themeColor="background1"/>
                <w:sz w:val="24"/>
                <w:lang w:eastAsia="en-AU"/>
              </w:rPr>
            </w:pPr>
            <w:r w:rsidRPr="00FD5A44">
              <w:rPr>
                <w:rFonts w:cs="Arial"/>
                <w:color w:val="FFFFFF" w:themeColor="background1"/>
                <w:sz w:val="24"/>
                <w:lang w:eastAsia="en-AU"/>
              </w:rPr>
              <w:lastRenderedPageBreak/>
              <w:t>Service</w:t>
            </w:r>
          </w:p>
        </w:tc>
        <w:tc>
          <w:tcPr>
            <w:tcW w:w="1701" w:type="dxa"/>
            <w:vAlign w:val="center"/>
          </w:tcPr>
          <w:p w14:paraId="4F5C96C6"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Face-to-face items</w:t>
            </w:r>
          </w:p>
        </w:tc>
        <w:tc>
          <w:tcPr>
            <w:tcW w:w="1559" w:type="dxa"/>
            <w:vAlign w:val="center"/>
          </w:tcPr>
          <w:p w14:paraId="2E1117C7"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Video items</w:t>
            </w:r>
          </w:p>
        </w:tc>
        <w:tc>
          <w:tcPr>
            <w:tcW w:w="1417" w:type="dxa"/>
            <w:vAlign w:val="center"/>
          </w:tcPr>
          <w:p w14:paraId="60C9EBB5"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Phone items</w:t>
            </w:r>
          </w:p>
        </w:tc>
      </w:tr>
      <w:tr w:rsidR="00F83E68" w:rsidRPr="00FD5A44" w14:paraId="1A58A20A"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F6ADC96" w14:textId="77777777" w:rsidR="00F83E68" w:rsidRPr="00FD5A44" w:rsidRDefault="00F83E68" w:rsidP="00F83E68">
            <w:pPr>
              <w:rPr>
                <w:rFonts w:cs="Arial"/>
                <w:sz w:val="24"/>
                <w:lang w:eastAsia="en-AU"/>
              </w:rPr>
            </w:pPr>
            <w:r w:rsidRPr="00FD5A44">
              <w:rPr>
                <w:rFonts w:cs="Arial"/>
                <w:sz w:val="24"/>
                <w:lang w:eastAsia="en-AU"/>
              </w:rPr>
              <w:t>Consultant psychiatrist, group psychotherapy, at least 1 hour, involving group of 2 to 9 unrelated patients or a family group of more than 3 patients, each referred to consultant psychiatrist</w:t>
            </w:r>
          </w:p>
        </w:tc>
        <w:tc>
          <w:tcPr>
            <w:tcW w:w="1701" w:type="dxa"/>
            <w:vAlign w:val="center"/>
          </w:tcPr>
          <w:p w14:paraId="519D450D"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342</w:t>
            </w:r>
          </w:p>
        </w:tc>
        <w:tc>
          <w:tcPr>
            <w:tcW w:w="1559" w:type="dxa"/>
            <w:vAlign w:val="center"/>
          </w:tcPr>
          <w:p w14:paraId="196EE668"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92455</w:t>
            </w:r>
          </w:p>
        </w:tc>
        <w:tc>
          <w:tcPr>
            <w:tcW w:w="1417" w:type="dxa"/>
            <w:vAlign w:val="center"/>
          </w:tcPr>
          <w:p w14:paraId="4E89DFB9"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p>
        </w:tc>
      </w:tr>
      <w:tr w:rsidR="00F83E68" w:rsidRPr="00FD5A44" w14:paraId="17A17F26" w14:textId="77777777" w:rsidTr="00F432DC">
        <w:tc>
          <w:tcPr>
            <w:cnfStyle w:val="001000000000" w:firstRow="0" w:lastRow="0" w:firstColumn="1" w:lastColumn="0" w:oddVBand="0" w:evenVBand="0" w:oddHBand="0" w:evenHBand="0" w:firstRowFirstColumn="0" w:firstRowLastColumn="0" w:lastRowFirstColumn="0" w:lastRowLastColumn="0"/>
            <w:tcW w:w="4395" w:type="dxa"/>
            <w:vAlign w:val="center"/>
          </w:tcPr>
          <w:p w14:paraId="554D0757" w14:textId="77777777" w:rsidR="00F83E68" w:rsidRPr="00FD5A44" w:rsidRDefault="00F83E68" w:rsidP="00F83E68">
            <w:pPr>
              <w:pStyle w:val="Tabletextleft"/>
              <w:rPr>
                <w:rFonts w:cs="Arial"/>
                <w:b/>
                <w:sz w:val="24"/>
                <w:szCs w:val="24"/>
              </w:rPr>
            </w:pPr>
            <w:r w:rsidRPr="00FD5A44">
              <w:rPr>
                <w:rFonts w:cs="Arial"/>
                <w:b/>
                <w:sz w:val="24"/>
                <w:szCs w:val="24"/>
              </w:rPr>
              <w:t>Consultant psychiatrist, group psychotherapy, at least 1 hour, involving family group of 3 patients, each referred to consultant psychiatrist</w:t>
            </w:r>
          </w:p>
        </w:tc>
        <w:tc>
          <w:tcPr>
            <w:tcW w:w="1701" w:type="dxa"/>
            <w:vAlign w:val="center"/>
          </w:tcPr>
          <w:p w14:paraId="071F66CE"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344</w:t>
            </w:r>
          </w:p>
        </w:tc>
        <w:tc>
          <w:tcPr>
            <w:tcW w:w="1559" w:type="dxa"/>
            <w:vAlign w:val="center"/>
          </w:tcPr>
          <w:p w14:paraId="5AB7AA47"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92456</w:t>
            </w:r>
          </w:p>
        </w:tc>
        <w:tc>
          <w:tcPr>
            <w:tcW w:w="1417" w:type="dxa"/>
            <w:vAlign w:val="center"/>
          </w:tcPr>
          <w:p w14:paraId="530C3D88"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p>
        </w:tc>
      </w:tr>
      <w:tr w:rsidR="00F83E68" w:rsidRPr="00FD5A44" w14:paraId="6C9DDABD"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9978822" w14:textId="77777777" w:rsidR="00F83E68" w:rsidRPr="00FD5A44" w:rsidRDefault="00F83E68" w:rsidP="00F83E68">
            <w:pPr>
              <w:pStyle w:val="Tabletextleft"/>
              <w:rPr>
                <w:rFonts w:cs="Arial"/>
                <w:b/>
                <w:sz w:val="24"/>
                <w:szCs w:val="24"/>
              </w:rPr>
            </w:pPr>
            <w:r w:rsidRPr="00FD5A44">
              <w:rPr>
                <w:rFonts w:cs="Arial"/>
                <w:b/>
                <w:sz w:val="24"/>
                <w:szCs w:val="24"/>
              </w:rPr>
              <w:t>Consultant psychiatrist, group psychotherapy, at least 1 hour, involving family group of 2 patients, each referred to consultant psychiatrist</w:t>
            </w:r>
          </w:p>
        </w:tc>
        <w:tc>
          <w:tcPr>
            <w:tcW w:w="1701" w:type="dxa"/>
            <w:vAlign w:val="center"/>
          </w:tcPr>
          <w:p w14:paraId="354E4416" w14:textId="77777777" w:rsidR="00F83E68" w:rsidRPr="00FD5A44" w:rsidRDefault="00F83E68" w:rsidP="00F83E68">
            <w:pPr>
              <w:pStyle w:val="Tabletextleft"/>
              <w:cnfStyle w:val="000000100000" w:firstRow="0" w:lastRow="0" w:firstColumn="0" w:lastColumn="0" w:oddVBand="0" w:evenVBand="0" w:oddHBand="1" w:evenHBand="0" w:firstRowFirstColumn="0" w:firstRowLastColumn="0" w:lastRowFirstColumn="0" w:lastRowLastColumn="0"/>
              <w:rPr>
                <w:rFonts w:cs="Arial"/>
                <w:b w:val="0"/>
                <w:sz w:val="24"/>
                <w:szCs w:val="24"/>
              </w:rPr>
            </w:pPr>
            <w:r w:rsidRPr="00FD5A44">
              <w:rPr>
                <w:rFonts w:cs="Arial"/>
                <w:b w:val="0"/>
                <w:sz w:val="24"/>
                <w:szCs w:val="24"/>
              </w:rPr>
              <w:t>346</w:t>
            </w:r>
          </w:p>
        </w:tc>
        <w:tc>
          <w:tcPr>
            <w:tcW w:w="1559" w:type="dxa"/>
            <w:vAlign w:val="center"/>
          </w:tcPr>
          <w:p w14:paraId="1696E1A0" w14:textId="77777777" w:rsidR="00F83E68" w:rsidRPr="00FD5A44" w:rsidRDefault="00F83E68" w:rsidP="00F83E68">
            <w:pPr>
              <w:pStyle w:val="Tabletextleft"/>
              <w:cnfStyle w:val="000000100000" w:firstRow="0" w:lastRow="0" w:firstColumn="0" w:lastColumn="0" w:oddVBand="0" w:evenVBand="0" w:oddHBand="1" w:evenHBand="0" w:firstRowFirstColumn="0" w:firstRowLastColumn="0" w:lastRowFirstColumn="0" w:lastRowLastColumn="0"/>
              <w:rPr>
                <w:rFonts w:cs="Arial"/>
                <w:b w:val="0"/>
                <w:sz w:val="24"/>
                <w:szCs w:val="24"/>
              </w:rPr>
            </w:pPr>
            <w:r w:rsidRPr="00FD5A44">
              <w:rPr>
                <w:rFonts w:cs="Arial"/>
                <w:b w:val="0"/>
                <w:sz w:val="24"/>
                <w:szCs w:val="24"/>
              </w:rPr>
              <w:t>92457</w:t>
            </w:r>
          </w:p>
        </w:tc>
        <w:tc>
          <w:tcPr>
            <w:tcW w:w="1417" w:type="dxa"/>
            <w:vAlign w:val="center"/>
          </w:tcPr>
          <w:p w14:paraId="355A849A" w14:textId="77777777" w:rsidR="00F83E68" w:rsidRPr="00FD5A44" w:rsidRDefault="00F83E68" w:rsidP="00F83E68">
            <w:pPr>
              <w:pStyle w:val="Tabletextleft"/>
              <w:cnfStyle w:val="000000100000" w:firstRow="0" w:lastRow="0" w:firstColumn="0" w:lastColumn="0" w:oddVBand="0" w:evenVBand="0" w:oddHBand="1" w:evenHBand="0" w:firstRowFirstColumn="0" w:firstRowLastColumn="0" w:lastRowFirstColumn="0" w:lastRowLastColumn="0"/>
              <w:rPr>
                <w:rFonts w:cs="Arial"/>
                <w:b w:val="0"/>
                <w:sz w:val="24"/>
                <w:szCs w:val="24"/>
              </w:rPr>
            </w:pPr>
          </w:p>
        </w:tc>
      </w:tr>
    </w:tbl>
    <w:p w14:paraId="35AD70C6" w14:textId="77777777" w:rsidR="00F83E68" w:rsidRPr="00FD5A44" w:rsidRDefault="00F83E68" w:rsidP="00F432DC">
      <w:pPr>
        <w:rPr>
          <w:rFonts w:cs="Arial"/>
          <w:sz w:val="24"/>
        </w:rPr>
      </w:pPr>
      <w:r w:rsidRPr="00FD5A44">
        <w:rPr>
          <w:rFonts w:cs="Arial"/>
          <w:sz w:val="24"/>
        </w:rPr>
        <w:t>Table 9. Consultant Psychiatrist services</w:t>
      </w:r>
    </w:p>
    <w:tbl>
      <w:tblPr>
        <w:tblStyle w:val="GridTable4-Accent2"/>
        <w:tblW w:w="9072" w:type="dxa"/>
        <w:tblInd w:w="-5" w:type="dxa"/>
        <w:tblLook w:val="04A0" w:firstRow="1" w:lastRow="0" w:firstColumn="1" w:lastColumn="0" w:noHBand="0" w:noVBand="1"/>
        <w:tblCaption w:val="Table 9. Consultant Psychiatrist services introduced 30 March 2020"/>
        <w:tblDescription w:val="A table showing consultant psychiatrist services introduced on 30 March 2020, with separate columns for existing (face-to-face) items, telehealth (videoconference) items and telephone items."/>
      </w:tblPr>
      <w:tblGrid>
        <w:gridCol w:w="4395"/>
        <w:gridCol w:w="1701"/>
        <w:gridCol w:w="1559"/>
        <w:gridCol w:w="1417"/>
      </w:tblGrid>
      <w:tr w:rsidR="00F83E68" w:rsidRPr="00FD5A44" w14:paraId="6B43AF9F" w14:textId="77777777" w:rsidTr="00F432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9CC268F" w14:textId="77777777" w:rsidR="00F83E68" w:rsidRPr="00FD5A44" w:rsidRDefault="00F83E68" w:rsidP="00F83E68">
            <w:pPr>
              <w:rPr>
                <w:rFonts w:cs="Arial"/>
                <w:color w:val="FFFFFF" w:themeColor="background1"/>
                <w:sz w:val="24"/>
                <w:lang w:eastAsia="en-AU"/>
              </w:rPr>
            </w:pPr>
            <w:r w:rsidRPr="00FD5A44">
              <w:rPr>
                <w:rFonts w:cs="Arial"/>
                <w:color w:val="FFFFFF" w:themeColor="background1"/>
                <w:sz w:val="24"/>
                <w:lang w:eastAsia="en-AU"/>
              </w:rPr>
              <w:t>Service</w:t>
            </w:r>
          </w:p>
        </w:tc>
        <w:tc>
          <w:tcPr>
            <w:tcW w:w="1701" w:type="dxa"/>
            <w:vAlign w:val="center"/>
          </w:tcPr>
          <w:p w14:paraId="07F0127F"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Face-to-face items</w:t>
            </w:r>
          </w:p>
        </w:tc>
        <w:tc>
          <w:tcPr>
            <w:tcW w:w="1559" w:type="dxa"/>
            <w:vAlign w:val="center"/>
          </w:tcPr>
          <w:p w14:paraId="20023DBF"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Video items</w:t>
            </w:r>
          </w:p>
        </w:tc>
        <w:tc>
          <w:tcPr>
            <w:tcW w:w="1417" w:type="dxa"/>
            <w:vAlign w:val="center"/>
          </w:tcPr>
          <w:p w14:paraId="1107974A"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Phone items</w:t>
            </w:r>
          </w:p>
        </w:tc>
      </w:tr>
      <w:tr w:rsidR="00F83E68" w:rsidRPr="00FD5A44" w14:paraId="5AF9B98F"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1EB55A61" w14:textId="77777777" w:rsidR="00F83E68" w:rsidRPr="00FD5A44" w:rsidRDefault="00F83E68" w:rsidP="00F83E68">
            <w:pPr>
              <w:rPr>
                <w:rFonts w:cs="Arial"/>
                <w:sz w:val="24"/>
                <w:lang w:eastAsia="en-AU"/>
              </w:rPr>
            </w:pPr>
            <w:r w:rsidRPr="00FD5A44">
              <w:rPr>
                <w:rFonts w:cs="Arial"/>
                <w:sz w:val="24"/>
                <w:lang w:eastAsia="en-AU"/>
              </w:rPr>
              <w:t>Consultant psychiatrist, prepare an eating disorder treatment and management plan, more than 45 minutes</w:t>
            </w:r>
          </w:p>
        </w:tc>
        <w:tc>
          <w:tcPr>
            <w:tcW w:w="1701" w:type="dxa"/>
            <w:vAlign w:val="center"/>
          </w:tcPr>
          <w:p w14:paraId="2E58F935"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90260</w:t>
            </w:r>
          </w:p>
        </w:tc>
        <w:tc>
          <w:tcPr>
            <w:tcW w:w="1559" w:type="dxa"/>
            <w:vAlign w:val="center"/>
          </w:tcPr>
          <w:p w14:paraId="265D220C"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92162</w:t>
            </w:r>
          </w:p>
        </w:tc>
        <w:tc>
          <w:tcPr>
            <w:tcW w:w="1417" w:type="dxa"/>
            <w:vAlign w:val="center"/>
          </w:tcPr>
          <w:p w14:paraId="5DEFFE40"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p>
        </w:tc>
      </w:tr>
      <w:tr w:rsidR="00F83E68" w:rsidRPr="00FD5A44" w14:paraId="16CFF937" w14:textId="77777777" w:rsidTr="00F432DC">
        <w:tc>
          <w:tcPr>
            <w:cnfStyle w:val="001000000000" w:firstRow="0" w:lastRow="0" w:firstColumn="1" w:lastColumn="0" w:oddVBand="0" w:evenVBand="0" w:oddHBand="0" w:evenHBand="0" w:firstRowFirstColumn="0" w:firstRowLastColumn="0" w:lastRowFirstColumn="0" w:lastRowLastColumn="0"/>
            <w:tcW w:w="4395" w:type="dxa"/>
            <w:vAlign w:val="center"/>
          </w:tcPr>
          <w:p w14:paraId="39509AC3" w14:textId="77777777" w:rsidR="00F83E68" w:rsidRPr="00FD5A44" w:rsidRDefault="00F83E68" w:rsidP="00F83E68">
            <w:pPr>
              <w:pStyle w:val="Tabletextleft"/>
              <w:rPr>
                <w:rFonts w:cs="Arial"/>
                <w:b/>
                <w:sz w:val="24"/>
                <w:szCs w:val="24"/>
              </w:rPr>
            </w:pPr>
            <w:r w:rsidRPr="00FD5A44">
              <w:rPr>
                <w:rFonts w:cs="Arial"/>
                <w:b/>
                <w:sz w:val="24"/>
                <w:szCs w:val="24"/>
              </w:rPr>
              <w:t>Consultant psychiatrist, to review an eating disorder plan, more than 30 minutes</w:t>
            </w:r>
          </w:p>
        </w:tc>
        <w:tc>
          <w:tcPr>
            <w:tcW w:w="1701" w:type="dxa"/>
            <w:vAlign w:val="center"/>
          </w:tcPr>
          <w:p w14:paraId="644DEF53"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90266</w:t>
            </w:r>
          </w:p>
        </w:tc>
        <w:tc>
          <w:tcPr>
            <w:tcW w:w="1559" w:type="dxa"/>
            <w:vAlign w:val="center"/>
          </w:tcPr>
          <w:p w14:paraId="1CE31DBE"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92172</w:t>
            </w:r>
          </w:p>
        </w:tc>
        <w:tc>
          <w:tcPr>
            <w:tcW w:w="1417" w:type="dxa"/>
            <w:vAlign w:val="center"/>
          </w:tcPr>
          <w:p w14:paraId="4FF8CCA7" w14:textId="66DAFEDF" w:rsidR="00F83E68" w:rsidRPr="00FD5A44" w:rsidRDefault="007B2971"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92441</w:t>
            </w:r>
          </w:p>
        </w:tc>
      </w:tr>
    </w:tbl>
    <w:p w14:paraId="43985E97" w14:textId="77777777" w:rsidR="00F83E68" w:rsidRPr="00FD5A44" w:rsidRDefault="00F83E68" w:rsidP="00F432DC">
      <w:pPr>
        <w:rPr>
          <w:rFonts w:cs="Arial"/>
          <w:sz w:val="24"/>
        </w:rPr>
      </w:pPr>
      <w:r w:rsidRPr="00FD5A44">
        <w:rPr>
          <w:rFonts w:cs="Arial"/>
          <w:sz w:val="24"/>
        </w:rPr>
        <w:t>Table 10. Paediatrician services</w:t>
      </w:r>
    </w:p>
    <w:tbl>
      <w:tblPr>
        <w:tblStyle w:val="GridTable4-Accent2"/>
        <w:tblW w:w="9072" w:type="dxa"/>
        <w:tblInd w:w="-5" w:type="dxa"/>
        <w:tblLook w:val="04A0" w:firstRow="1" w:lastRow="0" w:firstColumn="1" w:lastColumn="0" w:noHBand="0" w:noVBand="1"/>
        <w:tblCaption w:val="Table 10. Paediatrician services introduced 30 March 2020"/>
        <w:tblDescription w:val="A table showing paediatrician services introduced on 30 March 2020, with separate columns for existing (face-to-face) items, telehealth (videoconference) items and telephone items."/>
      </w:tblPr>
      <w:tblGrid>
        <w:gridCol w:w="4395"/>
        <w:gridCol w:w="1701"/>
        <w:gridCol w:w="1559"/>
        <w:gridCol w:w="1417"/>
      </w:tblGrid>
      <w:tr w:rsidR="00F83E68" w:rsidRPr="00FD5A44" w14:paraId="03482A05" w14:textId="77777777" w:rsidTr="00F432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77195C1" w14:textId="77777777" w:rsidR="00F83E68" w:rsidRPr="00FD5A44" w:rsidRDefault="00F83E68" w:rsidP="00F83E68">
            <w:pPr>
              <w:rPr>
                <w:rFonts w:cs="Arial"/>
                <w:color w:val="FFFFFF" w:themeColor="background1"/>
                <w:sz w:val="24"/>
                <w:lang w:eastAsia="en-AU"/>
              </w:rPr>
            </w:pPr>
            <w:r w:rsidRPr="00FD5A44">
              <w:rPr>
                <w:rFonts w:cs="Arial"/>
                <w:color w:val="FFFFFF" w:themeColor="background1"/>
                <w:sz w:val="24"/>
                <w:lang w:eastAsia="en-AU"/>
              </w:rPr>
              <w:t>Service</w:t>
            </w:r>
          </w:p>
        </w:tc>
        <w:tc>
          <w:tcPr>
            <w:tcW w:w="1701" w:type="dxa"/>
            <w:vAlign w:val="center"/>
          </w:tcPr>
          <w:p w14:paraId="6B8AF137"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Face-to-face items</w:t>
            </w:r>
          </w:p>
        </w:tc>
        <w:tc>
          <w:tcPr>
            <w:tcW w:w="1559" w:type="dxa"/>
            <w:vAlign w:val="center"/>
          </w:tcPr>
          <w:p w14:paraId="4C54BE98"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Video items</w:t>
            </w:r>
          </w:p>
        </w:tc>
        <w:tc>
          <w:tcPr>
            <w:tcW w:w="1417" w:type="dxa"/>
            <w:vAlign w:val="center"/>
          </w:tcPr>
          <w:p w14:paraId="6A20B18C"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Phone items</w:t>
            </w:r>
          </w:p>
        </w:tc>
      </w:tr>
      <w:tr w:rsidR="00F83E68" w:rsidRPr="00FD5A44" w14:paraId="566FAA2C"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280B359" w14:textId="77777777" w:rsidR="00F83E68" w:rsidRPr="00FD5A44" w:rsidRDefault="00F83E68" w:rsidP="00F83E68">
            <w:pPr>
              <w:rPr>
                <w:rFonts w:cs="Arial"/>
                <w:sz w:val="24"/>
                <w:lang w:eastAsia="en-AU"/>
              </w:rPr>
            </w:pPr>
            <w:r w:rsidRPr="00FD5A44">
              <w:rPr>
                <w:rFonts w:cs="Arial"/>
                <w:sz w:val="24"/>
                <w:lang w:eastAsia="en-AU"/>
              </w:rPr>
              <w:t>Paediatrician early intervention services for children with autism, pervasive developmental disorder, or disability</w:t>
            </w:r>
          </w:p>
        </w:tc>
        <w:tc>
          <w:tcPr>
            <w:tcW w:w="1701" w:type="dxa"/>
            <w:vAlign w:val="center"/>
          </w:tcPr>
          <w:p w14:paraId="1E6D1349"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135</w:t>
            </w:r>
          </w:p>
        </w:tc>
        <w:tc>
          <w:tcPr>
            <w:tcW w:w="1559" w:type="dxa"/>
            <w:vAlign w:val="center"/>
          </w:tcPr>
          <w:p w14:paraId="5989999A"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92140</w:t>
            </w:r>
          </w:p>
        </w:tc>
        <w:tc>
          <w:tcPr>
            <w:tcW w:w="1417" w:type="dxa"/>
            <w:vAlign w:val="center"/>
          </w:tcPr>
          <w:p w14:paraId="0ED68316"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p>
        </w:tc>
      </w:tr>
      <w:tr w:rsidR="00F83E68" w:rsidRPr="00FD5A44" w14:paraId="73CBFE5C" w14:textId="77777777" w:rsidTr="00F432DC">
        <w:tc>
          <w:tcPr>
            <w:cnfStyle w:val="001000000000" w:firstRow="0" w:lastRow="0" w:firstColumn="1" w:lastColumn="0" w:oddVBand="0" w:evenVBand="0" w:oddHBand="0" w:evenHBand="0" w:firstRowFirstColumn="0" w:firstRowLastColumn="0" w:lastRowFirstColumn="0" w:lastRowLastColumn="0"/>
            <w:tcW w:w="4395" w:type="dxa"/>
            <w:vAlign w:val="center"/>
          </w:tcPr>
          <w:p w14:paraId="14E04941" w14:textId="77777777" w:rsidR="00F83E68" w:rsidRPr="00FD5A44" w:rsidRDefault="00F83E68" w:rsidP="00F83E68">
            <w:pPr>
              <w:pStyle w:val="Tabletextleft"/>
              <w:rPr>
                <w:rFonts w:cs="Arial"/>
                <w:b/>
                <w:sz w:val="24"/>
                <w:szCs w:val="24"/>
              </w:rPr>
            </w:pPr>
            <w:r w:rsidRPr="00FD5A44">
              <w:rPr>
                <w:rFonts w:cs="Arial"/>
                <w:b/>
                <w:sz w:val="24"/>
                <w:szCs w:val="24"/>
              </w:rPr>
              <w:lastRenderedPageBreak/>
              <w:t>Paediatrician, prepare an eating disorder treatment and management plan, more than 45 minutes</w:t>
            </w:r>
          </w:p>
        </w:tc>
        <w:tc>
          <w:tcPr>
            <w:tcW w:w="1701" w:type="dxa"/>
            <w:vAlign w:val="center"/>
          </w:tcPr>
          <w:p w14:paraId="7B671255"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90261</w:t>
            </w:r>
          </w:p>
        </w:tc>
        <w:tc>
          <w:tcPr>
            <w:tcW w:w="1559" w:type="dxa"/>
            <w:vAlign w:val="center"/>
          </w:tcPr>
          <w:p w14:paraId="3C375146"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92163</w:t>
            </w:r>
          </w:p>
        </w:tc>
        <w:tc>
          <w:tcPr>
            <w:tcW w:w="1417" w:type="dxa"/>
            <w:vAlign w:val="center"/>
          </w:tcPr>
          <w:p w14:paraId="3135B0CA"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p>
        </w:tc>
      </w:tr>
      <w:tr w:rsidR="00F83E68" w:rsidRPr="00FD5A44" w14:paraId="0DE6B4CB"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3EA0C79" w14:textId="77777777" w:rsidR="00F83E68" w:rsidRPr="00FD5A44" w:rsidRDefault="00F83E68" w:rsidP="00F83E68">
            <w:pPr>
              <w:pStyle w:val="Tabletextleft"/>
              <w:rPr>
                <w:rFonts w:cs="Arial"/>
                <w:b/>
                <w:sz w:val="24"/>
                <w:szCs w:val="24"/>
              </w:rPr>
            </w:pPr>
            <w:r w:rsidRPr="00FD5A44">
              <w:rPr>
                <w:rFonts w:cs="Arial"/>
                <w:b/>
                <w:sz w:val="24"/>
                <w:szCs w:val="24"/>
              </w:rPr>
              <w:t>Paediatrician, to review an eating disorder plan, more than 20 minutes</w:t>
            </w:r>
          </w:p>
        </w:tc>
        <w:tc>
          <w:tcPr>
            <w:tcW w:w="1701" w:type="dxa"/>
            <w:vAlign w:val="center"/>
          </w:tcPr>
          <w:p w14:paraId="74ED844D" w14:textId="77777777" w:rsidR="00F83E68" w:rsidRPr="00FD5A44" w:rsidRDefault="00F83E68" w:rsidP="00F83E68">
            <w:pPr>
              <w:pStyle w:val="Tabletextleft"/>
              <w:cnfStyle w:val="000000100000" w:firstRow="0" w:lastRow="0" w:firstColumn="0" w:lastColumn="0" w:oddVBand="0" w:evenVBand="0" w:oddHBand="1" w:evenHBand="0" w:firstRowFirstColumn="0" w:firstRowLastColumn="0" w:lastRowFirstColumn="0" w:lastRowLastColumn="0"/>
              <w:rPr>
                <w:rFonts w:cs="Arial"/>
                <w:b w:val="0"/>
                <w:sz w:val="24"/>
                <w:szCs w:val="24"/>
              </w:rPr>
            </w:pPr>
            <w:r w:rsidRPr="00FD5A44">
              <w:rPr>
                <w:rFonts w:cs="Arial"/>
                <w:b w:val="0"/>
                <w:sz w:val="24"/>
                <w:szCs w:val="24"/>
              </w:rPr>
              <w:t>90267</w:t>
            </w:r>
          </w:p>
        </w:tc>
        <w:tc>
          <w:tcPr>
            <w:tcW w:w="1559" w:type="dxa"/>
            <w:vAlign w:val="center"/>
          </w:tcPr>
          <w:p w14:paraId="56F97209" w14:textId="77777777" w:rsidR="00F83E68" w:rsidRPr="00FD5A44" w:rsidRDefault="00F83E68" w:rsidP="00F83E68">
            <w:pPr>
              <w:pStyle w:val="Tabletextleft"/>
              <w:cnfStyle w:val="000000100000" w:firstRow="0" w:lastRow="0" w:firstColumn="0" w:lastColumn="0" w:oddVBand="0" w:evenVBand="0" w:oddHBand="1" w:evenHBand="0" w:firstRowFirstColumn="0" w:firstRowLastColumn="0" w:lastRowFirstColumn="0" w:lastRowLastColumn="0"/>
              <w:rPr>
                <w:rFonts w:cs="Arial"/>
                <w:b w:val="0"/>
                <w:sz w:val="24"/>
                <w:szCs w:val="24"/>
              </w:rPr>
            </w:pPr>
            <w:r w:rsidRPr="00FD5A44">
              <w:rPr>
                <w:rFonts w:cs="Arial"/>
                <w:b w:val="0"/>
                <w:sz w:val="24"/>
                <w:szCs w:val="24"/>
              </w:rPr>
              <w:t>92173</w:t>
            </w:r>
          </w:p>
        </w:tc>
        <w:tc>
          <w:tcPr>
            <w:tcW w:w="1417" w:type="dxa"/>
            <w:vAlign w:val="center"/>
          </w:tcPr>
          <w:p w14:paraId="3A98AB0C" w14:textId="1CAE5D61" w:rsidR="00F83E68" w:rsidRPr="00FD5A44" w:rsidRDefault="005E05FD" w:rsidP="00F83E68">
            <w:pPr>
              <w:pStyle w:val="Tabletextleft"/>
              <w:cnfStyle w:val="000000100000" w:firstRow="0" w:lastRow="0" w:firstColumn="0" w:lastColumn="0" w:oddVBand="0" w:evenVBand="0" w:oddHBand="1" w:evenHBand="0" w:firstRowFirstColumn="0" w:firstRowLastColumn="0" w:lastRowFirstColumn="0" w:lastRowLastColumn="0"/>
              <w:rPr>
                <w:rFonts w:cs="Arial"/>
                <w:b w:val="0"/>
                <w:sz w:val="24"/>
                <w:szCs w:val="24"/>
              </w:rPr>
            </w:pPr>
            <w:r w:rsidRPr="00FD5A44">
              <w:rPr>
                <w:rFonts w:cs="Arial"/>
                <w:b w:val="0"/>
                <w:sz w:val="24"/>
                <w:szCs w:val="24"/>
              </w:rPr>
              <w:t>92442</w:t>
            </w:r>
          </w:p>
        </w:tc>
      </w:tr>
    </w:tbl>
    <w:p w14:paraId="66B28385" w14:textId="77777777" w:rsidR="00F83E68" w:rsidRPr="00FD5A44" w:rsidRDefault="00F83E68" w:rsidP="00F432DC">
      <w:pPr>
        <w:rPr>
          <w:rFonts w:cs="Arial"/>
          <w:sz w:val="24"/>
        </w:rPr>
      </w:pPr>
      <w:r w:rsidRPr="00FD5A44">
        <w:rPr>
          <w:rFonts w:cs="Arial"/>
          <w:sz w:val="24"/>
        </w:rPr>
        <w:t>Table 11. Public Health Physician services</w:t>
      </w:r>
    </w:p>
    <w:tbl>
      <w:tblPr>
        <w:tblStyle w:val="GridTable4-Accent2"/>
        <w:tblW w:w="9072" w:type="dxa"/>
        <w:tblInd w:w="-5" w:type="dxa"/>
        <w:tblLook w:val="04A0" w:firstRow="1" w:lastRow="0" w:firstColumn="1" w:lastColumn="0" w:noHBand="0" w:noVBand="1"/>
        <w:tblCaption w:val="Table 11. Public Health Physician services introduced 20 April 2020"/>
        <w:tblDescription w:val="A table showing public health physician services introduced on 20 April 2020, with separate columns for existing (face-to-face) items, telehealth (videoconference) items and telephone items."/>
      </w:tblPr>
      <w:tblGrid>
        <w:gridCol w:w="4395"/>
        <w:gridCol w:w="1701"/>
        <w:gridCol w:w="1559"/>
        <w:gridCol w:w="1417"/>
      </w:tblGrid>
      <w:tr w:rsidR="00F83E68" w:rsidRPr="00FD5A44" w14:paraId="545463E7" w14:textId="77777777" w:rsidTr="00F432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96C72DC" w14:textId="77777777" w:rsidR="00F83E68" w:rsidRPr="00FD5A44" w:rsidRDefault="00F83E68" w:rsidP="00F83E68">
            <w:pPr>
              <w:rPr>
                <w:rFonts w:cs="Arial"/>
                <w:color w:val="FFFFFF" w:themeColor="background1"/>
                <w:sz w:val="24"/>
                <w:lang w:eastAsia="en-AU"/>
              </w:rPr>
            </w:pPr>
            <w:r w:rsidRPr="00FD5A44">
              <w:rPr>
                <w:rFonts w:cs="Arial"/>
                <w:color w:val="FFFFFF" w:themeColor="background1"/>
                <w:sz w:val="24"/>
                <w:lang w:eastAsia="en-AU"/>
              </w:rPr>
              <w:t>Service</w:t>
            </w:r>
          </w:p>
        </w:tc>
        <w:tc>
          <w:tcPr>
            <w:tcW w:w="1701" w:type="dxa"/>
            <w:vAlign w:val="center"/>
          </w:tcPr>
          <w:p w14:paraId="007F5132"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Face-to-face items</w:t>
            </w:r>
          </w:p>
        </w:tc>
        <w:tc>
          <w:tcPr>
            <w:tcW w:w="1559" w:type="dxa"/>
            <w:vAlign w:val="center"/>
          </w:tcPr>
          <w:p w14:paraId="2F5A9487"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Video items</w:t>
            </w:r>
          </w:p>
        </w:tc>
        <w:tc>
          <w:tcPr>
            <w:tcW w:w="1417" w:type="dxa"/>
            <w:vAlign w:val="center"/>
          </w:tcPr>
          <w:p w14:paraId="4100BCB6"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Phone items</w:t>
            </w:r>
          </w:p>
        </w:tc>
      </w:tr>
      <w:tr w:rsidR="00F83E68" w:rsidRPr="00FD5A44" w14:paraId="1A104EB2"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489658A" w14:textId="77777777" w:rsidR="00F83E68" w:rsidRPr="00FD5A44" w:rsidRDefault="00F83E68" w:rsidP="00F83E68">
            <w:pPr>
              <w:rPr>
                <w:rFonts w:cs="Arial"/>
                <w:sz w:val="24"/>
                <w:lang w:eastAsia="en-AU"/>
              </w:rPr>
            </w:pPr>
            <w:r w:rsidRPr="00FD5A44">
              <w:rPr>
                <w:rFonts w:cs="Arial"/>
                <w:sz w:val="24"/>
                <w:lang w:eastAsia="en-AU"/>
              </w:rPr>
              <w:t>Public health physician, level A attendance</w:t>
            </w:r>
          </w:p>
        </w:tc>
        <w:tc>
          <w:tcPr>
            <w:tcW w:w="1701" w:type="dxa"/>
            <w:vAlign w:val="center"/>
          </w:tcPr>
          <w:p w14:paraId="66094A0E"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410</w:t>
            </w:r>
          </w:p>
        </w:tc>
        <w:tc>
          <w:tcPr>
            <w:tcW w:w="1559" w:type="dxa"/>
            <w:vAlign w:val="center"/>
          </w:tcPr>
          <w:p w14:paraId="0D6ADCA5"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92513</w:t>
            </w:r>
          </w:p>
        </w:tc>
        <w:tc>
          <w:tcPr>
            <w:tcW w:w="1417" w:type="dxa"/>
            <w:vAlign w:val="center"/>
          </w:tcPr>
          <w:p w14:paraId="579F6C73"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92521*</w:t>
            </w:r>
          </w:p>
        </w:tc>
      </w:tr>
      <w:tr w:rsidR="00F83E68" w:rsidRPr="00FD5A44" w14:paraId="66C42EB5" w14:textId="77777777" w:rsidTr="00F432DC">
        <w:tc>
          <w:tcPr>
            <w:cnfStyle w:val="001000000000" w:firstRow="0" w:lastRow="0" w:firstColumn="1" w:lastColumn="0" w:oddVBand="0" w:evenVBand="0" w:oddHBand="0" w:evenHBand="0" w:firstRowFirstColumn="0" w:firstRowLastColumn="0" w:lastRowFirstColumn="0" w:lastRowLastColumn="0"/>
            <w:tcW w:w="4395" w:type="dxa"/>
            <w:vAlign w:val="center"/>
          </w:tcPr>
          <w:p w14:paraId="7EA7D11C" w14:textId="77777777" w:rsidR="00F83E68" w:rsidRPr="00FD5A44" w:rsidRDefault="00F83E68" w:rsidP="00F83E68">
            <w:pPr>
              <w:rPr>
                <w:rFonts w:cs="Arial"/>
                <w:sz w:val="24"/>
                <w:lang w:eastAsia="en-AU"/>
              </w:rPr>
            </w:pPr>
            <w:r w:rsidRPr="00FD5A44">
              <w:rPr>
                <w:rFonts w:cs="Arial"/>
                <w:sz w:val="24"/>
                <w:lang w:eastAsia="en-AU"/>
              </w:rPr>
              <w:t>Public health physician, level B attendance, less than 20 minutes</w:t>
            </w:r>
          </w:p>
        </w:tc>
        <w:tc>
          <w:tcPr>
            <w:tcW w:w="1701" w:type="dxa"/>
            <w:vAlign w:val="center"/>
          </w:tcPr>
          <w:p w14:paraId="070E2632"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411</w:t>
            </w:r>
          </w:p>
        </w:tc>
        <w:tc>
          <w:tcPr>
            <w:tcW w:w="1559" w:type="dxa"/>
            <w:vAlign w:val="center"/>
          </w:tcPr>
          <w:p w14:paraId="44DC0BEE"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92514</w:t>
            </w:r>
          </w:p>
        </w:tc>
        <w:tc>
          <w:tcPr>
            <w:tcW w:w="1417" w:type="dxa"/>
            <w:vAlign w:val="center"/>
          </w:tcPr>
          <w:p w14:paraId="48C2730A"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92522*</w:t>
            </w:r>
          </w:p>
        </w:tc>
      </w:tr>
      <w:tr w:rsidR="00F83E68" w:rsidRPr="00FD5A44" w14:paraId="0FEA8953"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F40BB0F" w14:textId="77777777" w:rsidR="00F83E68" w:rsidRPr="00FD5A44" w:rsidRDefault="00F83E68" w:rsidP="00F83E68">
            <w:pPr>
              <w:rPr>
                <w:rFonts w:cs="Arial"/>
                <w:sz w:val="24"/>
                <w:lang w:eastAsia="en-AU"/>
              </w:rPr>
            </w:pPr>
            <w:r w:rsidRPr="00FD5A44">
              <w:rPr>
                <w:rFonts w:cs="Arial"/>
                <w:sz w:val="24"/>
                <w:lang w:eastAsia="en-AU"/>
              </w:rPr>
              <w:t>Public health physician, level C attendance, at least 20 minutes</w:t>
            </w:r>
          </w:p>
        </w:tc>
        <w:tc>
          <w:tcPr>
            <w:tcW w:w="1701" w:type="dxa"/>
            <w:vAlign w:val="center"/>
          </w:tcPr>
          <w:p w14:paraId="4154F81B"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412</w:t>
            </w:r>
          </w:p>
        </w:tc>
        <w:tc>
          <w:tcPr>
            <w:tcW w:w="1559" w:type="dxa"/>
            <w:vAlign w:val="center"/>
          </w:tcPr>
          <w:p w14:paraId="73BEEC7C"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92515</w:t>
            </w:r>
          </w:p>
        </w:tc>
        <w:tc>
          <w:tcPr>
            <w:tcW w:w="1417" w:type="dxa"/>
            <w:vAlign w:val="center"/>
          </w:tcPr>
          <w:p w14:paraId="7E835897"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p>
        </w:tc>
      </w:tr>
      <w:tr w:rsidR="00F83E68" w:rsidRPr="00FD5A44" w14:paraId="5BE2A0E9" w14:textId="77777777" w:rsidTr="00F432DC">
        <w:tc>
          <w:tcPr>
            <w:cnfStyle w:val="001000000000" w:firstRow="0" w:lastRow="0" w:firstColumn="1" w:lastColumn="0" w:oddVBand="0" w:evenVBand="0" w:oddHBand="0" w:evenHBand="0" w:firstRowFirstColumn="0" w:firstRowLastColumn="0" w:lastRowFirstColumn="0" w:lastRowLastColumn="0"/>
            <w:tcW w:w="4395" w:type="dxa"/>
            <w:vAlign w:val="center"/>
          </w:tcPr>
          <w:p w14:paraId="33A3015B" w14:textId="77777777" w:rsidR="00F83E68" w:rsidRPr="00FD5A44" w:rsidRDefault="00F83E68" w:rsidP="00F83E68">
            <w:pPr>
              <w:pStyle w:val="Tabletextleft"/>
              <w:rPr>
                <w:rFonts w:cs="Arial"/>
                <w:b/>
                <w:sz w:val="24"/>
                <w:szCs w:val="24"/>
              </w:rPr>
            </w:pPr>
            <w:r w:rsidRPr="00FD5A44">
              <w:rPr>
                <w:rFonts w:cs="Arial"/>
                <w:b/>
                <w:sz w:val="24"/>
                <w:szCs w:val="24"/>
              </w:rPr>
              <w:t>Public health physician, level D attendance, at least 40 minutes</w:t>
            </w:r>
          </w:p>
        </w:tc>
        <w:tc>
          <w:tcPr>
            <w:tcW w:w="1701" w:type="dxa"/>
            <w:vAlign w:val="center"/>
          </w:tcPr>
          <w:p w14:paraId="0F77CF7C"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413</w:t>
            </w:r>
          </w:p>
        </w:tc>
        <w:tc>
          <w:tcPr>
            <w:tcW w:w="1559" w:type="dxa"/>
            <w:vAlign w:val="center"/>
          </w:tcPr>
          <w:p w14:paraId="025F9035"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92516</w:t>
            </w:r>
          </w:p>
        </w:tc>
        <w:tc>
          <w:tcPr>
            <w:tcW w:w="1417" w:type="dxa"/>
            <w:vAlign w:val="center"/>
          </w:tcPr>
          <w:p w14:paraId="272BF1A9"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p>
        </w:tc>
      </w:tr>
    </w:tbl>
    <w:p w14:paraId="2043E430" w14:textId="77777777" w:rsidR="00F83E68" w:rsidRPr="00FD5A44" w:rsidRDefault="00F83E68" w:rsidP="00F432DC">
      <w:pPr>
        <w:rPr>
          <w:rFonts w:cs="Arial"/>
          <w:i/>
          <w:iCs/>
          <w:sz w:val="24"/>
        </w:rPr>
      </w:pPr>
      <w:r w:rsidRPr="00FD5A44">
        <w:rPr>
          <w:rFonts w:cs="Arial"/>
          <w:i/>
          <w:iCs/>
          <w:sz w:val="24"/>
        </w:rPr>
        <w:t xml:space="preserve">*Where the attendance is not the first attendance for that </w:t>
      </w:r>
      <w:proofErr w:type="gramStart"/>
      <w:r w:rsidRPr="00FD5A44">
        <w:rPr>
          <w:rFonts w:cs="Arial"/>
          <w:i/>
          <w:iCs/>
          <w:sz w:val="24"/>
        </w:rPr>
        <w:t>particular clinical</w:t>
      </w:r>
      <w:proofErr w:type="gramEnd"/>
      <w:r w:rsidRPr="00FD5A44">
        <w:rPr>
          <w:rFonts w:cs="Arial"/>
          <w:i/>
          <w:iCs/>
          <w:sz w:val="24"/>
        </w:rPr>
        <w:t xml:space="preserve"> indication</w:t>
      </w:r>
    </w:p>
    <w:p w14:paraId="6795BB3C" w14:textId="77777777" w:rsidR="00F83E68" w:rsidRPr="00FD5A44" w:rsidRDefault="00F83E68" w:rsidP="00F432DC">
      <w:pPr>
        <w:rPr>
          <w:rFonts w:cs="Arial"/>
          <w:sz w:val="24"/>
        </w:rPr>
      </w:pPr>
      <w:r w:rsidRPr="00FD5A44">
        <w:rPr>
          <w:rFonts w:cs="Arial"/>
          <w:sz w:val="24"/>
        </w:rPr>
        <w:t>Table 12. Neurosurgery attendances</w:t>
      </w:r>
    </w:p>
    <w:tbl>
      <w:tblPr>
        <w:tblStyle w:val="GridTable4-Accent2"/>
        <w:tblW w:w="9072" w:type="dxa"/>
        <w:tblInd w:w="-5" w:type="dxa"/>
        <w:tblLook w:val="04A0" w:firstRow="1" w:lastRow="0" w:firstColumn="1" w:lastColumn="0" w:noHBand="0" w:noVBand="1"/>
        <w:tblCaption w:val="Table 12. Neurosurgery attendances introduced 20 April 2020"/>
        <w:tblDescription w:val="A table showing neurosurgery attendance items introduced on 20 April 2020, with separate columns for existing (face-to-face) items, telehealth (videoconference) items and telephone items."/>
      </w:tblPr>
      <w:tblGrid>
        <w:gridCol w:w="4395"/>
        <w:gridCol w:w="1701"/>
        <w:gridCol w:w="1559"/>
        <w:gridCol w:w="1417"/>
      </w:tblGrid>
      <w:tr w:rsidR="00F83E68" w:rsidRPr="00FD5A44" w14:paraId="143217BD" w14:textId="77777777" w:rsidTr="00F432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63CD6AB" w14:textId="77777777" w:rsidR="00F83E68" w:rsidRPr="00FD5A44" w:rsidRDefault="00F83E68" w:rsidP="00F83E68">
            <w:pPr>
              <w:rPr>
                <w:rFonts w:cs="Arial"/>
                <w:color w:val="FFFFFF" w:themeColor="background1"/>
                <w:sz w:val="24"/>
                <w:lang w:eastAsia="en-AU"/>
              </w:rPr>
            </w:pPr>
            <w:r w:rsidRPr="00FD5A44">
              <w:rPr>
                <w:rFonts w:cs="Arial"/>
                <w:color w:val="FFFFFF" w:themeColor="background1"/>
                <w:sz w:val="24"/>
                <w:lang w:eastAsia="en-AU"/>
              </w:rPr>
              <w:t>Service</w:t>
            </w:r>
          </w:p>
        </w:tc>
        <w:tc>
          <w:tcPr>
            <w:tcW w:w="1701" w:type="dxa"/>
            <w:vAlign w:val="center"/>
          </w:tcPr>
          <w:p w14:paraId="17045137"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Face-to-face items</w:t>
            </w:r>
          </w:p>
        </w:tc>
        <w:tc>
          <w:tcPr>
            <w:tcW w:w="1559" w:type="dxa"/>
            <w:vAlign w:val="center"/>
          </w:tcPr>
          <w:p w14:paraId="1BAC5E75"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Video items</w:t>
            </w:r>
          </w:p>
        </w:tc>
        <w:tc>
          <w:tcPr>
            <w:tcW w:w="1417" w:type="dxa"/>
            <w:vAlign w:val="center"/>
          </w:tcPr>
          <w:p w14:paraId="3EB0802D"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Phone items</w:t>
            </w:r>
          </w:p>
        </w:tc>
      </w:tr>
      <w:tr w:rsidR="00F83E68" w:rsidRPr="00FD5A44" w14:paraId="47BA0814"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0C57BE2" w14:textId="77777777" w:rsidR="00F83E68" w:rsidRPr="00FD5A44" w:rsidRDefault="00F83E68" w:rsidP="00F83E68">
            <w:pPr>
              <w:rPr>
                <w:rFonts w:cs="Arial"/>
                <w:sz w:val="24"/>
                <w:lang w:eastAsia="en-AU"/>
              </w:rPr>
            </w:pPr>
            <w:r w:rsidRPr="00FD5A44">
              <w:rPr>
                <w:rFonts w:cs="Arial"/>
                <w:sz w:val="24"/>
                <w:lang w:eastAsia="en-AU"/>
              </w:rPr>
              <w:t>Neurosurgeon, initial attendance</w:t>
            </w:r>
          </w:p>
        </w:tc>
        <w:tc>
          <w:tcPr>
            <w:tcW w:w="1701" w:type="dxa"/>
            <w:vAlign w:val="center"/>
          </w:tcPr>
          <w:p w14:paraId="132E7F38"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6007</w:t>
            </w:r>
          </w:p>
        </w:tc>
        <w:tc>
          <w:tcPr>
            <w:tcW w:w="1559" w:type="dxa"/>
            <w:vAlign w:val="center"/>
          </w:tcPr>
          <w:p w14:paraId="79D35351"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92610</w:t>
            </w:r>
          </w:p>
        </w:tc>
        <w:tc>
          <w:tcPr>
            <w:tcW w:w="1417" w:type="dxa"/>
            <w:vAlign w:val="center"/>
          </w:tcPr>
          <w:p w14:paraId="3B3051AC"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p>
        </w:tc>
      </w:tr>
      <w:tr w:rsidR="00F83E68" w:rsidRPr="00FD5A44" w14:paraId="3BDCB323" w14:textId="77777777" w:rsidTr="00F432DC">
        <w:tc>
          <w:tcPr>
            <w:cnfStyle w:val="001000000000" w:firstRow="0" w:lastRow="0" w:firstColumn="1" w:lastColumn="0" w:oddVBand="0" w:evenVBand="0" w:oddHBand="0" w:evenHBand="0" w:firstRowFirstColumn="0" w:firstRowLastColumn="0" w:lastRowFirstColumn="0" w:lastRowLastColumn="0"/>
            <w:tcW w:w="4395" w:type="dxa"/>
            <w:vAlign w:val="center"/>
          </w:tcPr>
          <w:p w14:paraId="46D4C3E0" w14:textId="77777777" w:rsidR="00F83E68" w:rsidRPr="00FD5A44" w:rsidRDefault="00F83E68" w:rsidP="00F83E68">
            <w:pPr>
              <w:rPr>
                <w:rFonts w:cs="Arial"/>
                <w:sz w:val="24"/>
                <w:lang w:eastAsia="en-AU"/>
              </w:rPr>
            </w:pPr>
            <w:r w:rsidRPr="00FD5A44">
              <w:rPr>
                <w:rFonts w:cs="Arial"/>
                <w:sz w:val="24"/>
                <w:lang w:eastAsia="en-AU"/>
              </w:rPr>
              <w:t xml:space="preserve">Neurosurgeon, minor attendance, </w:t>
            </w:r>
            <w:r w:rsidRPr="00FD5A44">
              <w:rPr>
                <w:rFonts w:cs="Arial"/>
                <w:i/>
                <w:iCs/>
                <w:sz w:val="24"/>
                <w:lang w:eastAsia="en-AU"/>
              </w:rPr>
              <w:t>after the first in a single course of treatment.</w:t>
            </w:r>
          </w:p>
        </w:tc>
        <w:tc>
          <w:tcPr>
            <w:tcW w:w="1701" w:type="dxa"/>
            <w:vAlign w:val="center"/>
          </w:tcPr>
          <w:p w14:paraId="6B6B55B1"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6009</w:t>
            </w:r>
          </w:p>
        </w:tc>
        <w:tc>
          <w:tcPr>
            <w:tcW w:w="1559" w:type="dxa"/>
            <w:vAlign w:val="center"/>
          </w:tcPr>
          <w:p w14:paraId="0FC36808"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92611</w:t>
            </w:r>
          </w:p>
        </w:tc>
        <w:tc>
          <w:tcPr>
            <w:tcW w:w="1417" w:type="dxa"/>
            <w:vAlign w:val="center"/>
          </w:tcPr>
          <w:p w14:paraId="567AB0C7"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92618</w:t>
            </w:r>
          </w:p>
        </w:tc>
      </w:tr>
      <w:tr w:rsidR="00F83E68" w:rsidRPr="00FD5A44" w14:paraId="5EFFB4C2"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1CD10E53" w14:textId="77777777" w:rsidR="00F83E68" w:rsidRPr="00FD5A44" w:rsidRDefault="00F83E68" w:rsidP="00F83E68">
            <w:pPr>
              <w:rPr>
                <w:rFonts w:cs="Arial"/>
                <w:sz w:val="24"/>
                <w:lang w:eastAsia="en-AU"/>
              </w:rPr>
            </w:pPr>
            <w:r w:rsidRPr="00FD5A44">
              <w:rPr>
                <w:rFonts w:cs="Arial"/>
                <w:sz w:val="24"/>
                <w:lang w:eastAsia="en-AU"/>
              </w:rPr>
              <w:t>Neurosurgeon, subsequent attendance, 15 to 30 minutes</w:t>
            </w:r>
          </w:p>
        </w:tc>
        <w:tc>
          <w:tcPr>
            <w:tcW w:w="1701" w:type="dxa"/>
            <w:vAlign w:val="center"/>
          </w:tcPr>
          <w:p w14:paraId="1B1F3A01"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6011</w:t>
            </w:r>
          </w:p>
        </w:tc>
        <w:tc>
          <w:tcPr>
            <w:tcW w:w="1559" w:type="dxa"/>
            <w:vAlign w:val="center"/>
          </w:tcPr>
          <w:p w14:paraId="18010684"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92612</w:t>
            </w:r>
          </w:p>
        </w:tc>
        <w:tc>
          <w:tcPr>
            <w:tcW w:w="1417" w:type="dxa"/>
            <w:vAlign w:val="center"/>
          </w:tcPr>
          <w:p w14:paraId="7A63BABC" w14:textId="1E4C28A5" w:rsidR="00F83E68" w:rsidRPr="00FD5A44" w:rsidRDefault="00262FA7"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92445</w:t>
            </w:r>
          </w:p>
        </w:tc>
      </w:tr>
      <w:tr w:rsidR="00F83E68" w:rsidRPr="00FD5A44" w14:paraId="5DB82F09" w14:textId="77777777" w:rsidTr="00F432DC">
        <w:tc>
          <w:tcPr>
            <w:cnfStyle w:val="001000000000" w:firstRow="0" w:lastRow="0" w:firstColumn="1" w:lastColumn="0" w:oddVBand="0" w:evenVBand="0" w:oddHBand="0" w:evenHBand="0" w:firstRowFirstColumn="0" w:firstRowLastColumn="0" w:lastRowFirstColumn="0" w:lastRowLastColumn="0"/>
            <w:tcW w:w="4395" w:type="dxa"/>
            <w:vAlign w:val="center"/>
          </w:tcPr>
          <w:p w14:paraId="12C65710" w14:textId="77777777" w:rsidR="00F83E68" w:rsidRPr="00FD5A44" w:rsidRDefault="00F83E68" w:rsidP="00F83E68">
            <w:pPr>
              <w:rPr>
                <w:rFonts w:cs="Arial"/>
                <w:sz w:val="24"/>
                <w:lang w:eastAsia="en-AU"/>
              </w:rPr>
            </w:pPr>
            <w:r w:rsidRPr="00FD5A44">
              <w:rPr>
                <w:rFonts w:cs="Arial"/>
                <w:sz w:val="24"/>
                <w:lang w:eastAsia="en-AU"/>
              </w:rPr>
              <w:t>Neurosurgeon, subsequent attendance, 30 to 45 minutes</w:t>
            </w:r>
          </w:p>
        </w:tc>
        <w:tc>
          <w:tcPr>
            <w:tcW w:w="1701" w:type="dxa"/>
            <w:vAlign w:val="center"/>
          </w:tcPr>
          <w:p w14:paraId="5E06B975"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6013</w:t>
            </w:r>
          </w:p>
        </w:tc>
        <w:tc>
          <w:tcPr>
            <w:tcW w:w="1559" w:type="dxa"/>
            <w:vAlign w:val="center"/>
          </w:tcPr>
          <w:p w14:paraId="4305A3A2"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92613</w:t>
            </w:r>
          </w:p>
        </w:tc>
        <w:tc>
          <w:tcPr>
            <w:tcW w:w="1417" w:type="dxa"/>
            <w:vAlign w:val="center"/>
          </w:tcPr>
          <w:p w14:paraId="4A63476E" w14:textId="3684D924" w:rsidR="00F83E68" w:rsidRPr="00FD5A44" w:rsidRDefault="00262FA7"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92446</w:t>
            </w:r>
          </w:p>
        </w:tc>
      </w:tr>
      <w:tr w:rsidR="00F83E68" w:rsidRPr="00FD5A44" w14:paraId="5B6AF0E7"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DF15192" w14:textId="77777777" w:rsidR="00F83E68" w:rsidRPr="00FD5A44" w:rsidRDefault="00F83E68" w:rsidP="00F83E68">
            <w:pPr>
              <w:pStyle w:val="Tabletextleft"/>
              <w:rPr>
                <w:rFonts w:cs="Arial"/>
                <w:b/>
                <w:sz w:val="24"/>
                <w:szCs w:val="24"/>
              </w:rPr>
            </w:pPr>
            <w:r w:rsidRPr="00FD5A44">
              <w:rPr>
                <w:rFonts w:cs="Arial"/>
                <w:b/>
                <w:sz w:val="24"/>
                <w:szCs w:val="24"/>
              </w:rPr>
              <w:lastRenderedPageBreak/>
              <w:t>Neurosurgeon, subsequent attendance, more than 45 minutes</w:t>
            </w:r>
          </w:p>
        </w:tc>
        <w:tc>
          <w:tcPr>
            <w:tcW w:w="1701" w:type="dxa"/>
            <w:vAlign w:val="center"/>
          </w:tcPr>
          <w:p w14:paraId="2DD33E0F" w14:textId="77777777" w:rsidR="00F83E68" w:rsidRPr="00FD5A44" w:rsidRDefault="00F83E68" w:rsidP="00F83E68">
            <w:pPr>
              <w:pStyle w:val="Tabletextleft"/>
              <w:cnfStyle w:val="000000100000" w:firstRow="0" w:lastRow="0" w:firstColumn="0" w:lastColumn="0" w:oddVBand="0" w:evenVBand="0" w:oddHBand="1" w:evenHBand="0" w:firstRowFirstColumn="0" w:firstRowLastColumn="0" w:lastRowFirstColumn="0" w:lastRowLastColumn="0"/>
              <w:rPr>
                <w:rFonts w:cs="Arial"/>
                <w:b w:val="0"/>
                <w:sz w:val="24"/>
                <w:szCs w:val="24"/>
              </w:rPr>
            </w:pPr>
            <w:r w:rsidRPr="00FD5A44">
              <w:rPr>
                <w:rFonts w:cs="Arial"/>
                <w:b w:val="0"/>
                <w:sz w:val="24"/>
                <w:szCs w:val="24"/>
              </w:rPr>
              <w:t>6015</w:t>
            </w:r>
          </w:p>
        </w:tc>
        <w:tc>
          <w:tcPr>
            <w:tcW w:w="1559" w:type="dxa"/>
            <w:vAlign w:val="center"/>
          </w:tcPr>
          <w:p w14:paraId="1C008E35" w14:textId="77777777" w:rsidR="00F83E68" w:rsidRPr="00FD5A44" w:rsidRDefault="00F83E68" w:rsidP="00F83E68">
            <w:pPr>
              <w:pStyle w:val="Tabletextleft"/>
              <w:cnfStyle w:val="000000100000" w:firstRow="0" w:lastRow="0" w:firstColumn="0" w:lastColumn="0" w:oddVBand="0" w:evenVBand="0" w:oddHBand="1" w:evenHBand="0" w:firstRowFirstColumn="0" w:firstRowLastColumn="0" w:lastRowFirstColumn="0" w:lastRowLastColumn="0"/>
              <w:rPr>
                <w:rFonts w:cs="Arial"/>
                <w:b w:val="0"/>
                <w:sz w:val="24"/>
                <w:szCs w:val="24"/>
              </w:rPr>
            </w:pPr>
            <w:r w:rsidRPr="00FD5A44">
              <w:rPr>
                <w:rFonts w:cs="Arial"/>
                <w:b w:val="0"/>
                <w:sz w:val="24"/>
                <w:szCs w:val="24"/>
              </w:rPr>
              <w:t>92614</w:t>
            </w:r>
          </w:p>
        </w:tc>
        <w:tc>
          <w:tcPr>
            <w:tcW w:w="1417" w:type="dxa"/>
            <w:vAlign w:val="center"/>
          </w:tcPr>
          <w:p w14:paraId="5C5C490A" w14:textId="5CDC79CF" w:rsidR="00F83E68" w:rsidRPr="00FD5A44" w:rsidRDefault="005E5501" w:rsidP="00F83E68">
            <w:pPr>
              <w:pStyle w:val="Tabletextleft"/>
              <w:cnfStyle w:val="000000100000" w:firstRow="0" w:lastRow="0" w:firstColumn="0" w:lastColumn="0" w:oddVBand="0" w:evenVBand="0" w:oddHBand="1" w:evenHBand="0" w:firstRowFirstColumn="0" w:firstRowLastColumn="0" w:lastRowFirstColumn="0" w:lastRowLastColumn="0"/>
              <w:rPr>
                <w:rFonts w:cs="Arial"/>
                <w:b w:val="0"/>
                <w:sz w:val="24"/>
                <w:szCs w:val="24"/>
              </w:rPr>
            </w:pPr>
            <w:r w:rsidRPr="00FD5A44">
              <w:rPr>
                <w:rFonts w:cs="Arial"/>
                <w:b w:val="0"/>
                <w:sz w:val="24"/>
                <w:szCs w:val="24"/>
              </w:rPr>
              <w:t>92447</w:t>
            </w:r>
          </w:p>
        </w:tc>
      </w:tr>
    </w:tbl>
    <w:p w14:paraId="30A8B9D1" w14:textId="77777777" w:rsidR="00F83E68" w:rsidRPr="00FD5A44" w:rsidRDefault="00F83E68" w:rsidP="00F432DC">
      <w:pPr>
        <w:rPr>
          <w:rFonts w:cs="Arial"/>
          <w:sz w:val="24"/>
        </w:rPr>
      </w:pPr>
      <w:r w:rsidRPr="00FD5A44">
        <w:rPr>
          <w:rFonts w:cs="Arial"/>
          <w:sz w:val="24"/>
        </w:rPr>
        <w:t>Table 13. Anaesthesia attendances</w:t>
      </w:r>
    </w:p>
    <w:tbl>
      <w:tblPr>
        <w:tblStyle w:val="GridTable4-Accent2"/>
        <w:tblW w:w="9072" w:type="dxa"/>
        <w:tblInd w:w="-5" w:type="dxa"/>
        <w:tblLook w:val="04A0" w:firstRow="1" w:lastRow="0" w:firstColumn="1" w:lastColumn="0" w:noHBand="0" w:noVBand="1"/>
        <w:tblCaption w:val="Table 13. Anaesthesia Attendances introduced 22 May 2020"/>
        <w:tblDescription w:val="A table showing anaesthesia attendance items introduced on 22 May 2020, with separate columns for existing (face-to-face) items, telehealth (videoconference) items and telephone items."/>
      </w:tblPr>
      <w:tblGrid>
        <w:gridCol w:w="4395"/>
        <w:gridCol w:w="1701"/>
        <w:gridCol w:w="1559"/>
        <w:gridCol w:w="1417"/>
      </w:tblGrid>
      <w:tr w:rsidR="00F83E68" w:rsidRPr="00FD5A44" w14:paraId="34D2B80F" w14:textId="77777777" w:rsidTr="00F432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3ED4FFB" w14:textId="77777777" w:rsidR="00F83E68" w:rsidRPr="00FD5A44" w:rsidRDefault="00F83E68" w:rsidP="00F83E68">
            <w:pPr>
              <w:rPr>
                <w:rFonts w:cs="Arial"/>
                <w:color w:val="FFFFFF" w:themeColor="background1"/>
                <w:sz w:val="24"/>
                <w:lang w:eastAsia="en-AU"/>
              </w:rPr>
            </w:pPr>
            <w:r w:rsidRPr="00FD5A44">
              <w:rPr>
                <w:rFonts w:cs="Arial"/>
                <w:color w:val="FFFFFF" w:themeColor="background1"/>
                <w:sz w:val="24"/>
                <w:lang w:eastAsia="en-AU"/>
              </w:rPr>
              <w:t>Service</w:t>
            </w:r>
          </w:p>
        </w:tc>
        <w:tc>
          <w:tcPr>
            <w:tcW w:w="1701" w:type="dxa"/>
            <w:vAlign w:val="center"/>
          </w:tcPr>
          <w:p w14:paraId="52222DD8"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Face-to-face items</w:t>
            </w:r>
          </w:p>
        </w:tc>
        <w:tc>
          <w:tcPr>
            <w:tcW w:w="1559" w:type="dxa"/>
            <w:vAlign w:val="center"/>
          </w:tcPr>
          <w:p w14:paraId="04459343"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Video items</w:t>
            </w:r>
          </w:p>
        </w:tc>
        <w:tc>
          <w:tcPr>
            <w:tcW w:w="1417" w:type="dxa"/>
            <w:vAlign w:val="center"/>
          </w:tcPr>
          <w:p w14:paraId="7C2F1201"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Telephone items</w:t>
            </w:r>
          </w:p>
        </w:tc>
      </w:tr>
      <w:tr w:rsidR="00F83E68" w:rsidRPr="00FD5A44" w14:paraId="2034EFA1"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12EBEF7E" w14:textId="77777777" w:rsidR="00F83E68" w:rsidRPr="00FD5A44" w:rsidRDefault="00F83E68" w:rsidP="00F83E68">
            <w:pPr>
              <w:rPr>
                <w:rFonts w:cs="Arial"/>
                <w:sz w:val="24"/>
                <w:lang w:eastAsia="en-AU"/>
              </w:rPr>
            </w:pPr>
            <w:r w:rsidRPr="00FD5A44">
              <w:rPr>
                <w:rFonts w:cs="Arial"/>
                <w:sz w:val="24"/>
                <w:lang w:eastAsia="en-AU"/>
              </w:rPr>
              <w:t>Anaesthetist, professional attendance, advanced or complex</w:t>
            </w:r>
          </w:p>
        </w:tc>
        <w:tc>
          <w:tcPr>
            <w:tcW w:w="1701" w:type="dxa"/>
            <w:vAlign w:val="center"/>
          </w:tcPr>
          <w:p w14:paraId="004F78AA"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17615</w:t>
            </w:r>
          </w:p>
        </w:tc>
        <w:tc>
          <w:tcPr>
            <w:tcW w:w="1559" w:type="dxa"/>
            <w:vAlign w:val="center"/>
          </w:tcPr>
          <w:p w14:paraId="03D4B49A"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92701</w:t>
            </w:r>
          </w:p>
        </w:tc>
        <w:tc>
          <w:tcPr>
            <w:tcW w:w="1417" w:type="dxa"/>
            <w:vAlign w:val="center"/>
          </w:tcPr>
          <w:p w14:paraId="12213D2F"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p>
        </w:tc>
      </w:tr>
    </w:tbl>
    <w:p w14:paraId="29D9C5F3" w14:textId="77777777" w:rsidR="00F83E68" w:rsidRPr="00FD5A44" w:rsidRDefault="00F83E68" w:rsidP="00F432DC">
      <w:pPr>
        <w:rPr>
          <w:rFonts w:cs="Arial"/>
          <w:sz w:val="24"/>
        </w:rPr>
      </w:pPr>
      <w:r w:rsidRPr="00FD5A44">
        <w:rPr>
          <w:rFonts w:cs="Arial"/>
          <w:sz w:val="24"/>
        </w:rPr>
        <w:t>Table 14. Approved Oral and Maxillofacial Surgery attendances</w:t>
      </w:r>
    </w:p>
    <w:tbl>
      <w:tblPr>
        <w:tblStyle w:val="GridTable4-Accent2"/>
        <w:tblW w:w="9072" w:type="dxa"/>
        <w:tblInd w:w="-5" w:type="dxa"/>
        <w:tblLook w:val="04A0" w:firstRow="1" w:lastRow="0" w:firstColumn="1" w:lastColumn="0" w:noHBand="0" w:noVBand="1"/>
        <w:tblCaption w:val="Table 14. Approved Oral and Maxillofacial Surgery Attendances "/>
        <w:tblDescription w:val="Approved Oral and Maxillofacial Surgery Attendance items, with separate columns for existing (face-to-face) items, telehealth (videoconference) items and telephone items."/>
      </w:tblPr>
      <w:tblGrid>
        <w:gridCol w:w="4395"/>
        <w:gridCol w:w="1701"/>
        <w:gridCol w:w="1559"/>
        <w:gridCol w:w="1417"/>
      </w:tblGrid>
      <w:tr w:rsidR="00F83E68" w:rsidRPr="00FD5A44" w14:paraId="16868D8E" w14:textId="77777777" w:rsidTr="00F432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28BBDEE" w14:textId="77777777" w:rsidR="00F83E68" w:rsidRPr="00FD5A44" w:rsidRDefault="00F83E68" w:rsidP="00F83E68">
            <w:pPr>
              <w:rPr>
                <w:rFonts w:cs="Arial"/>
                <w:color w:val="FFFFFF" w:themeColor="background1"/>
                <w:sz w:val="24"/>
                <w:lang w:eastAsia="en-AU"/>
              </w:rPr>
            </w:pPr>
            <w:r w:rsidRPr="00FD5A44">
              <w:rPr>
                <w:rFonts w:cs="Arial"/>
                <w:color w:val="FFFFFF" w:themeColor="background1"/>
                <w:sz w:val="24"/>
                <w:lang w:eastAsia="en-AU"/>
              </w:rPr>
              <w:t>Service</w:t>
            </w:r>
          </w:p>
        </w:tc>
        <w:tc>
          <w:tcPr>
            <w:tcW w:w="1701" w:type="dxa"/>
            <w:vAlign w:val="center"/>
          </w:tcPr>
          <w:p w14:paraId="66020998"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Face-to-face items</w:t>
            </w:r>
          </w:p>
        </w:tc>
        <w:tc>
          <w:tcPr>
            <w:tcW w:w="1559" w:type="dxa"/>
            <w:vAlign w:val="center"/>
          </w:tcPr>
          <w:p w14:paraId="77370244"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Video items</w:t>
            </w:r>
          </w:p>
        </w:tc>
        <w:tc>
          <w:tcPr>
            <w:tcW w:w="1417" w:type="dxa"/>
            <w:vAlign w:val="center"/>
          </w:tcPr>
          <w:p w14:paraId="145EDE65"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Phone items</w:t>
            </w:r>
          </w:p>
        </w:tc>
      </w:tr>
      <w:tr w:rsidR="00F83E68" w:rsidRPr="00FD5A44" w14:paraId="67F31F1B"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2F1314A" w14:textId="77777777" w:rsidR="00F83E68" w:rsidRPr="00FD5A44" w:rsidRDefault="00F83E68" w:rsidP="00F83E68">
            <w:pPr>
              <w:rPr>
                <w:rFonts w:cs="Arial"/>
                <w:sz w:val="24"/>
                <w:lang w:eastAsia="en-AU"/>
              </w:rPr>
            </w:pPr>
            <w:r w:rsidRPr="00FD5A44">
              <w:rPr>
                <w:rFonts w:cs="Arial"/>
                <w:sz w:val="24"/>
                <w:lang w:eastAsia="en-AU"/>
              </w:rPr>
              <w:t>Dental practitioner (oral and maxillofacial surgery only), initial attendance</w:t>
            </w:r>
          </w:p>
        </w:tc>
        <w:tc>
          <w:tcPr>
            <w:tcW w:w="1701" w:type="dxa"/>
            <w:vAlign w:val="center"/>
          </w:tcPr>
          <w:p w14:paraId="39FCC045"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51700</w:t>
            </w:r>
          </w:p>
        </w:tc>
        <w:tc>
          <w:tcPr>
            <w:tcW w:w="1559" w:type="dxa"/>
            <w:vAlign w:val="center"/>
          </w:tcPr>
          <w:p w14:paraId="3068EF7C"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54001</w:t>
            </w:r>
          </w:p>
        </w:tc>
        <w:tc>
          <w:tcPr>
            <w:tcW w:w="1417" w:type="dxa"/>
            <w:vAlign w:val="center"/>
          </w:tcPr>
          <w:p w14:paraId="44B82869"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p>
        </w:tc>
      </w:tr>
      <w:tr w:rsidR="00F83E68" w:rsidRPr="00FD5A44" w14:paraId="3EB9B2E6" w14:textId="77777777" w:rsidTr="00F432DC">
        <w:tc>
          <w:tcPr>
            <w:cnfStyle w:val="001000000000" w:firstRow="0" w:lastRow="0" w:firstColumn="1" w:lastColumn="0" w:oddVBand="0" w:evenVBand="0" w:oddHBand="0" w:evenHBand="0" w:firstRowFirstColumn="0" w:firstRowLastColumn="0" w:lastRowFirstColumn="0" w:lastRowLastColumn="0"/>
            <w:tcW w:w="4395" w:type="dxa"/>
            <w:vAlign w:val="center"/>
          </w:tcPr>
          <w:p w14:paraId="74FD3C47" w14:textId="77777777" w:rsidR="00F83E68" w:rsidRPr="00FD5A44" w:rsidRDefault="00F83E68" w:rsidP="00F83E68">
            <w:pPr>
              <w:pStyle w:val="Tabletextleft"/>
              <w:rPr>
                <w:rFonts w:cs="Arial"/>
                <w:b/>
                <w:sz w:val="24"/>
                <w:szCs w:val="24"/>
              </w:rPr>
            </w:pPr>
            <w:r w:rsidRPr="00FD5A44">
              <w:rPr>
                <w:rFonts w:cs="Arial"/>
                <w:b/>
                <w:sz w:val="24"/>
                <w:szCs w:val="24"/>
              </w:rPr>
              <w:t>Dental practitioner (oral and maxillofacial surgery only), subsequent attendance</w:t>
            </w:r>
          </w:p>
        </w:tc>
        <w:tc>
          <w:tcPr>
            <w:tcW w:w="1701" w:type="dxa"/>
            <w:vAlign w:val="center"/>
          </w:tcPr>
          <w:p w14:paraId="31FE5818"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51703</w:t>
            </w:r>
          </w:p>
        </w:tc>
        <w:tc>
          <w:tcPr>
            <w:tcW w:w="1559" w:type="dxa"/>
            <w:vAlign w:val="center"/>
          </w:tcPr>
          <w:p w14:paraId="05866491"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54002</w:t>
            </w:r>
          </w:p>
        </w:tc>
        <w:tc>
          <w:tcPr>
            <w:tcW w:w="1417" w:type="dxa"/>
            <w:vAlign w:val="center"/>
          </w:tcPr>
          <w:p w14:paraId="0FCCCBF8"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54004</w:t>
            </w:r>
          </w:p>
        </w:tc>
      </w:tr>
    </w:tbl>
    <w:p w14:paraId="7510F82B" w14:textId="77777777" w:rsidR="00F83E68" w:rsidRPr="00FD5A44" w:rsidRDefault="00F83E68" w:rsidP="00F432DC">
      <w:pPr>
        <w:rPr>
          <w:rFonts w:cs="Arial"/>
          <w:sz w:val="24"/>
        </w:rPr>
      </w:pPr>
      <w:r w:rsidRPr="00FD5A44">
        <w:rPr>
          <w:rFonts w:cs="Arial"/>
          <w:sz w:val="24"/>
        </w:rPr>
        <w:t>Table 15. Obstetricians, GPs, Midwives, Nurses or Aboriginal and Torres Strait Islander health practitioner services</w:t>
      </w:r>
    </w:p>
    <w:tbl>
      <w:tblPr>
        <w:tblStyle w:val="GridTable4-Accent2"/>
        <w:tblW w:w="9072" w:type="dxa"/>
        <w:tblInd w:w="-5" w:type="dxa"/>
        <w:tblLook w:val="04A0" w:firstRow="1" w:lastRow="0" w:firstColumn="1" w:lastColumn="0" w:noHBand="0" w:noVBand="1"/>
        <w:tblCaption w:val="Table 15. Obstetricians, GPs, Midwives, Nurses or Aboriginal and Torres Strait Islander health practitioner services"/>
        <w:tblDescription w:val="A table showing obstetricians, GPs, midwives, nurses or aboriginal and torres strait islander health practitioner services, with separate columns for existing (face-to-face) items, telehealth (videoconference) items and telephone items. "/>
      </w:tblPr>
      <w:tblGrid>
        <w:gridCol w:w="4395"/>
        <w:gridCol w:w="1701"/>
        <w:gridCol w:w="1559"/>
        <w:gridCol w:w="1417"/>
      </w:tblGrid>
      <w:tr w:rsidR="00F83E68" w:rsidRPr="00FD5A44" w14:paraId="1477F0BD" w14:textId="77777777" w:rsidTr="00F432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70D88ED" w14:textId="77777777" w:rsidR="00F83E68" w:rsidRPr="00FD5A44" w:rsidRDefault="00F83E68" w:rsidP="00F83E68">
            <w:pPr>
              <w:rPr>
                <w:rFonts w:cs="Arial"/>
                <w:color w:val="FFFFFF" w:themeColor="background1"/>
                <w:sz w:val="24"/>
                <w:lang w:eastAsia="en-AU"/>
              </w:rPr>
            </w:pPr>
            <w:r w:rsidRPr="00FD5A44">
              <w:rPr>
                <w:rFonts w:cs="Arial"/>
                <w:color w:val="FFFFFF" w:themeColor="background1"/>
                <w:sz w:val="24"/>
                <w:lang w:eastAsia="en-AU"/>
              </w:rPr>
              <w:t>Service</w:t>
            </w:r>
          </w:p>
        </w:tc>
        <w:tc>
          <w:tcPr>
            <w:tcW w:w="1701" w:type="dxa"/>
            <w:vAlign w:val="center"/>
          </w:tcPr>
          <w:p w14:paraId="4D4AB6F3"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Face-to-face items</w:t>
            </w:r>
          </w:p>
        </w:tc>
        <w:tc>
          <w:tcPr>
            <w:tcW w:w="1559" w:type="dxa"/>
            <w:vAlign w:val="center"/>
          </w:tcPr>
          <w:p w14:paraId="465973B9"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Video items</w:t>
            </w:r>
          </w:p>
        </w:tc>
        <w:tc>
          <w:tcPr>
            <w:tcW w:w="1417" w:type="dxa"/>
            <w:vAlign w:val="center"/>
          </w:tcPr>
          <w:p w14:paraId="70B96C2D" w14:textId="77777777" w:rsidR="00F83E68" w:rsidRPr="00FD5A44" w:rsidRDefault="00F83E68" w:rsidP="00F83E68">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lang w:eastAsia="en-AU"/>
              </w:rPr>
            </w:pPr>
            <w:r w:rsidRPr="00FD5A44">
              <w:rPr>
                <w:rFonts w:cs="Arial"/>
                <w:color w:val="FFFFFF" w:themeColor="background1"/>
                <w:sz w:val="24"/>
                <w:lang w:eastAsia="en-AU"/>
              </w:rPr>
              <w:t>Phone items</w:t>
            </w:r>
          </w:p>
        </w:tc>
      </w:tr>
      <w:tr w:rsidR="00F83E68" w:rsidRPr="00FD5A44" w14:paraId="78F038CB"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85B35D6" w14:textId="77777777" w:rsidR="00F83E68" w:rsidRPr="00FD5A44" w:rsidRDefault="00F83E68" w:rsidP="00F83E68">
            <w:pPr>
              <w:rPr>
                <w:rFonts w:cs="Arial"/>
                <w:sz w:val="24"/>
                <w:lang w:eastAsia="en-AU"/>
              </w:rPr>
            </w:pPr>
            <w:r w:rsidRPr="00FD5A44">
              <w:rPr>
                <w:rFonts w:cs="Arial"/>
                <w:sz w:val="24"/>
                <w:lang w:eastAsia="en-AU"/>
              </w:rPr>
              <w:t>Antenatal Service provided by a Nurse, Midwife or an Aboriginal and Torres Strait Islander health practitioner on behalf of, and under the supervision of, a medical practitioner</w:t>
            </w:r>
          </w:p>
        </w:tc>
        <w:tc>
          <w:tcPr>
            <w:tcW w:w="1701" w:type="dxa"/>
            <w:vAlign w:val="center"/>
          </w:tcPr>
          <w:p w14:paraId="3E2D2EE8"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16400</w:t>
            </w:r>
          </w:p>
        </w:tc>
        <w:tc>
          <w:tcPr>
            <w:tcW w:w="1559" w:type="dxa"/>
            <w:vAlign w:val="center"/>
          </w:tcPr>
          <w:p w14:paraId="666D3DCA"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91850</w:t>
            </w:r>
          </w:p>
        </w:tc>
        <w:tc>
          <w:tcPr>
            <w:tcW w:w="1417" w:type="dxa"/>
            <w:vAlign w:val="center"/>
          </w:tcPr>
          <w:p w14:paraId="07E8617A" w14:textId="77777777" w:rsidR="00F83E68" w:rsidRPr="00FD5A44"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FD5A44">
              <w:rPr>
                <w:rFonts w:cs="Arial"/>
                <w:sz w:val="24"/>
                <w:lang w:eastAsia="en-AU"/>
              </w:rPr>
              <w:t>91855</w:t>
            </w:r>
          </w:p>
        </w:tc>
      </w:tr>
      <w:tr w:rsidR="00F83E68" w:rsidRPr="00FD5A44" w14:paraId="4A63CF31" w14:textId="77777777" w:rsidTr="00F432DC">
        <w:tc>
          <w:tcPr>
            <w:cnfStyle w:val="001000000000" w:firstRow="0" w:lastRow="0" w:firstColumn="1" w:lastColumn="0" w:oddVBand="0" w:evenVBand="0" w:oddHBand="0" w:evenHBand="0" w:firstRowFirstColumn="0" w:firstRowLastColumn="0" w:lastRowFirstColumn="0" w:lastRowLastColumn="0"/>
            <w:tcW w:w="4395" w:type="dxa"/>
            <w:tcBorders>
              <w:bottom w:val="single" w:sz="4" w:space="0" w:color="358189" w:themeColor="accent2"/>
            </w:tcBorders>
            <w:vAlign w:val="center"/>
          </w:tcPr>
          <w:p w14:paraId="0093C133" w14:textId="66BB30AF" w:rsidR="00F83E68" w:rsidRPr="00FD5A44" w:rsidRDefault="00F83E68" w:rsidP="00F83E68">
            <w:pPr>
              <w:rPr>
                <w:rFonts w:cs="Arial"/>
                <w:sz w:val="24"/>
                <w:lang w:eastAsia="en-AU"/>
              </w:rPr>
            </w:pPr>
            <w:r w:rsidRPr="00FD5A44">
              <w:rPr>
                <w:rFonts w:cs="Arial"/>
                <w:sz w:val="24"/>
                <w:lang w:eastAsia="en-AU"/>
              </w:rPr>
              <w:t>Postnatal attendance by an obstetrician or GP</w:t>
            </w:r>
          </w:p>
        </w:tc>
        <w:tc>
          <w:tcPr>
            <w:tcW w:w="1701" w:type="dxa"/>
            <w:tcBorders>
              <w:bottom w:val="single" w:sz="4" w:space="0" w:color="358189" w:themeColor="accent2"/>
            </w:tcBorders>
            <w:vAlign w:val="center"/>
          </w:tcPr>
          <w:p w14:paraId="3F677754"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16407</w:t>
            </w:r>
          </w:p>
        </w:tc>
        <w:tc>
          <w:tcPr>
            <w:tcW w:w="1559" w:type="dxa"/>
            <w:tcBorders>
              <w:bottom w:val="single" w:sz="4" w:space="0" w:color="358189" w:themeColor="accent2"/>
            </w:tcBorders>
            <w:vAlign w:val="center"/>
          </w:tcPr>
          <w:p w14:paraId="7F599506"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91851</w:t>
            </w:r>
          </w:p>
        </w:tc>
        <w:tc>
          <w:tcPr>
            <w:tcW w:w="1417" w:type="dxa"/>
            <w:tcBorders>
              <w:bottom w:val="single" w:sz="4" w:space="0" w:color="358189" w:themeColor="accent2"/>
            </w:tcBorders>
            <w:vAlign w:val="center"/>
          </w:tcPr>
          <w:p w14:paraId="2AB705BC" w14:textId="77777777" w:rsidR="00F83E68" w:rsidRPr="00FD5A44" w:rsidRDefault="00F83E68" w:rsidP="00F83E68">
            <w:pPr>
              <w:cnfStyle w:val="000000000000" w:firstRow="0" w:lastRow="0" w:firstColumn="0" w:lastColumn="0" w:oddVBand="0" w:evenVBand="0" w:oddHBand="0" w:evenHBand="0" w:firstRowFirstColumn="0" w:firstRowLastColumn="0" w:lastRowFirstColumn="0" w:lastRowLastColumn="0"/>
              <w:rPr>
                <w:rFonts w:cs="Arial"/>
                <w:sz w:val="24"/>
                <w:lang w:eastAsia="en-AU"/>
              </w:rPr>
            </w:pPr>
            <w:r w:rsidRPr="00FD5A44">
              <w:rPr>
                <w:rFonts w:cs="Arial"/>
                <w:sz w:val="24"/>
                <w:lang w:eastAsia="en-AU"/>
              </w:rPr>
              <w:t>91856</w:t>
            </w:r>
          </w:p>
        </w:tc>
      </w:tr>
      <w:tr w:rsidR="00F83E68" w:rsidRPr="00FD5A44" w14:paraId="35158D25" w14:textId="77777777" w:rsidTr="00F43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2107918" w14:textId="77777777" w:rsidR="00F83E68" w:rsidRPr="00FD5A44" w:rsidRDefault="00F83E68" w:rsidP="00F83E68">
            <w:pPr>
              <w:rPr>
                <w:rFonts w:cs="Arial"/>
                <w:sz w:val="24"/>
                <w:lang w:eastAsia="en-AU"/>
              </w:rPr>
            </w:pPr>
            <w:r w:rsidRPr="00FD5A44">
              <w:rPr>
                <w:rFonts w:cs="Arial"/>
                <w:sz w:val="24"/>
                <w:lang w:eastAsia="en-AU"/>
              </w:rPr>
              <w:t>Postnatal attendance by:</w:t>
            </w:r>
          </w:p>
          <w:p w14:paraId="7D0275F1" w14:textId="77777777" w:rsidR="00F83E68" w:rsidRPr="00FD5A44" w:rsidRDefault="00F83E68" w:rsidP="00F83E68">
            <w:pPr>
              <w:rPr>
                <w:rFonts w:cs="Arial"/>
                <w:sz w:val="24"/>
                <w:lang w:eastAsia="en-AU"/>
              </w:rPr>
            </w:pPr>
            <w:r w:rsidRPr="00FD5A44">
              <w:rPr>
                <w:rFonts w:cs="Arial"/>
                <w:sz w:val="24"/>
                <w:lang w:eastAsia="en-AU"/>
              </w:rPr>
              <w:lastRenderedPageBreak/>
              <w:t>(i) a midwife (on behalf of and under the supervision of the medical practitioner who attended the birth); or</w:t>
            </w:r>
          </w:p>
          <w:p w14:paraId="627391DD" w14:textId="77777777" w:rsidR="00F83E68" w:rsidRPr="00FD5A44" w:rsidRDefault="00F83E68" w:rsidP="00F83E68">
            <w:pPr>
              <w:rPr>
                <w:rFonts w:cs="Arial"/>
                <w:sz w:val="24"/>
                <w:lang w:eastAsia="en-AU"/>
              </w:rPr>
            </w:pPr>
            <w:r w:rsidRPr="00FD5A44">
              <w:rPr>
                <w:rFonts w:cs="Arial"/>
                <w:sz w:val="24"/>
                <w:lang w:eastAsia="en-AU"/>
              </w:rPr>
              <w:t>(ii) an obstetrician; or</w:t>
            </w:r>
          </w:p>
          <w:p w14:paraId="06AFBA1C" w14:textId="77777777" w:rsidR="00F83E68" w:rsidRPr="00FD5A44" w:rsidRDefault="00F83E68" w:rsidP="00F83E68">
            <w:pPr>
              <w:rPr>
                <w:rFonts w:cs="Arial"/>
                <w:sz w:val="24"/>
                <w:lang w:eastAsia="en-AU"/>
              </w:rPr>
            </w:pPr>
            <w:r w:rsidRPr="00FD5A44">
              <w:rPr>
                <w:rFonts w:cs="Arial"/>
                <w:sz w:val="24"/>
                <w:lang w:eastAsia="en-AU"/>
              </w:rPr>
              <w:t>(iii) a general practitioner</w:t>
            </w:r>
          </w:p>
        </w:tc>
        <w:tc>
          <w:tcPr>
            <w:tcW w:w="1701" w:type="dxa"/>
            <w:vAlign w:val="center"/>
          </w:tcPr>
          <w:p w14:paraId="1E836A17" w14:textId="77777777" w:rsidR="00F83E68" w:rsidRPr="007401C3"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7401C3">
              <w:rPr>
                <w:rFonts w:cs="Arial"/>
                <w:sz w:val="24"/>
                <w:lang w:eastAsia="en-AU"/>
              </w:rPr>
              <w:lastRenderedPageBreak/>
              <w:t>16408</w:t>
            </w:r>
          </w:p>
        </w:tc>
        <w:tc>
          <w:tcPr>
            <w:tcW w:w="1559" w:type="dxa"/>
            <w:vAlign w:val="center"/>
          </w:tcPr>
          <w:p w14:paraId="3289A463" w14:textId="77777777" w:rsidR="00F83E68" w:rsidRPr="007401C3"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7401C3">
              <w:rPr>
                <w:rFonts w:cs="Arial"/>
                <w:sz w:val="24"/>
                <w:lang w:eastAsia="en-AU"/>
              </w:rPr>
              <w:t>91852</w:t>
            </w:r>
          </w:p>
        </w:tc>
        <w:tc>
          <w:tcPr>
            <w:tcW w:w="1417" w:type="dxa"/>
            <w:vAlign w:val="center"/>
          </w:tcPr>
          <w:p w14:paraId="65742DFF" w14:textId="77777777" w:rsidR="00F83E68" w:rsidRPr="007401C3" w:rsidRDefault="00F83E68" w:rsidP="00F83E68">
            <w:pPr>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7401C3">
              <w:rPr>
                <w:rFonts w:cs="Arial"/>
                <w:sz w:val="24"/>
                <w:lang w:eastAsia="en-AU"/>
              </w:rPr>
              <w:t>91857</w:t>
            </w:r>
          </w:p>
        </w:tc>
      </w:tr>
      <w:tr w:rsidR="00F83E68" w:rsidRPr="00FD5A44" w14:paraId="04B49A6B" w14:textId="77777777" w:rsidTr="00F432DC">
        <w:tc>
          <w:tcPr>
            <w:cnfStyle w:val="001000000000" w:firstRow="0" w:lastRow="0" w:firstColumn="1" w:lastColumn="0" w:oddVBand="0" w:evenVBand="0" w:oddHBand="0" w:evenHBand="0" w:firstRowFirstColumn="0" w:firstRowLastColumn="0" w:lastRowFirstColumn="0" w:lastRowLastColumn="0"/>
            <w:tcW w:w="4395" w:type="dxa"/>
            <w:vAlign w:val="center"/>
          </w:tcPr>
          <w:p w14:paraId="16D48170" w14:textId="77777777" w:rsidR="00F83E68" w:rsidRPr="00FD5A44" w:rsidRDefault="00F83E68" w:rsidP="00F83E68">
            <w:pPr>
              <w:pStyle w:val="Tabletextleft"/>
              <w:rPr>
                <w:rFonts w:cs="Arial"/>
                <w:b/>
                <w:sz w:val="24"/>
                <w:szCs w:val="24"/>
              </w:rPr>
            </w:pPr>
            <w:r w:rsidRPr="00FD5A44">
              <w:rPr>
                <w:rFonts w:cs="Arial"/>
                <w:b/>
                <w:sz w:val="24"/>
                <w:szCs w:val="24"/>
              </w:rPr>
              <w:t>Antenatal attendance</w:t>
            </w:r>
          </w:p>
        </w:tc>
        <w:tc>
          <w:tcPr>
            <w:tcW w:w="1701" w:type="dxa"/>
            <w:vAlign w:val="center"/>
          </w:tcPr>
          <w:p w14:paraId="7176539E"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16500</w:t>
            </w:r>
          </w:p>
        </w:tc>
        <w:tc>
          <w:tcPr>
            <w:tcW w:w="1559" w:type="dxa"/>
            <w:vAlign w:val="center"/>
          </w:tcPr>
          <w:p w14:paraId="6372BB7F"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91853</w:t>
            </w:r>
          </w:p>
        </w:tc>
        <w:tc>
          <w:tcPr>
            <w:tcW w:w="1417" w:type="dxa"/>
            <w:vAlign w:val="center"/>
          </w:tcPr>
          <w:p w14:paraId="438FF4F1" w14:textId="77777777" w:rsidR="00F83E68" w:rsidRPr="00FD5A44" w:rsidRDefault="00F83E68" w:rsidP="00F83E68">
            <w:pPr>
              <w:pStyle w:val="Tabletextleft"/>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FD5A44">
              <w:rPr>
                <w:rFonts w:cs="Arial"/>
                <w:b w:val="0"/>
                <w:sz w:val="24"/>
                <w:szCs w:val="24"/>
              </w:rPr>
              <w:t>91858</w:t>
            </w:r>
          </w:p>
        </w:tc>
      </w:tr>
    </w:tbl>
    <w:p w14:paraId="1F94BEAF" w14:textId="77777777" w:rsidR="00F83E68" w:rsidRPr="00FD5A44" w:rsidRDefault="00F83E68" w:rsidP="00F83E68">
      <w:pPr>
        <w:rPr>
          <w:rFonts w:cs="Arial"/>
          <w:sz w:val="24"/>
        </w:rPr>
      </w:pPr>
    </w:p>
    <w:tbl>
      <w:tblPr>
        <w:tblStyle w:val="GridTable4-Accent2"/>
        <w:tblW w:w="0" w:type="auto"/>
        <w:tblLook w:val="04A0" w:firstRow="1" w:lastRow="0" w:firstColumn="1" w:lastColumn="0" w:noHBand="0" w:noVBand="1"/>
        <w:tblCaption w:val="Nurse practitioner telehealth items"/>
        <w:tblDescription w:val="Face to face, video telehealth, and telephone nurse practitioner items for attandances up to 40 minutes. "/>
      </w:tblPr>
      <w:tblGrid>
        <w:gridCol w:w="3256"/>
        <w:gridCol w:w="1984"/>
        <w:gridCol w:w="1843"/>
        <w:gridCol w:w="1977"/>
      </w:tblGrid>
      <w:tr w:rsidR="00BE5E9B" w:rsidRPr="00FD5A44" w14:paraId="2E9D180E"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A43E1E6" w14:textId="77777777" w:rsidR="00BE5E9B" w:rsidRPr="00FD5A44" w:rsidRDefault="00BE5E9B" w:rsidP="00386F01">
            <w:pPr>
              <w:rPr>
                <w:rFonts w:cs="Arial"/>
                <w:color w:val="FFFFFF" w:themeColor="background1"/>
                <w:sz w:val="24"/>
              </w:rPr>
            </w:pPr>
            <w:r w:rsidRPr="00FD5A44">
              <w:rPr>
                <w:rFonts w:cs="Arial"/>
                <w:color w:val="FFFFFF" w:themeColor="background1"/>
                <w:sz w:val="24"/>
              </w:rPr>
              <w:t>Service</w:t>
            </w:r>
          </w:p>
        </w:tc>
        <w:tc>
          <w:tcPr>
            <w:tcW w:w="1984" w:type="dxa"/>
          </w:tcPr>
          <w:p w14:paraId="693DF571" w14:textId="77777777" w:rsidR="00BE5E9B" w:rsidRPr="00FD5A44" w:rsidRDefault="00BE5E9B" w:rsidP="00386F01">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rPr>
            </w:pPr>
            <w:r w:rsidRPr="00FD5A44">
              <w:rPr>
                <w:rFonts w:cs="Arial"/>
                <w:color w:val="FFFFFF" w:themeColor="background1"/>
                <w:sz w:val="24"/>
              </w:rPr>
              <w:t>Face to face equivalent</w:t>
            </w:r>
          </w:p>
        </w:tc>
        <w:tc>
          <w:tcPr>
            <w:tcW w:w="1843" w:type="dxa"/>
          </w:tcPr>
          <w:p w14:paraId="08FDD56F" w14:textId="77777777" w:rsidR="00BE5E9B" w:rsidRPr="00FD5A44" w:rsidRDefault="00BE5E9B" w:rsidP="00386F01">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rPr>
            </w:pPr>
            <w:r w:rsidRPr="00FD5A44">
              <w:rPr>
                <w:rFonts w:cs="Arial"/>
                <w:color w:val="FFFFFF" w:themeColor="background1"/>
                <w:sz w:val="24"/>
              </w:rPr>
              <w:t>Video items</w:t>
            </w:r>
          </w:p>
        </w:tc>
        <w:tc>
          <w:tcPr>
            <w:tcW w:w="1977" w:type="dxa"/>
          </w:tcPr>
          <w:p w14:paraId="0CF1AD96" w14:textId="77777777" w:rsidR="00BE5E9B" w:rsidRPr="00FD5A44" w:rsidRDefault="00BE5E9B" w:rsidP="00386F01">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4"/>
              </w:rPr>
            </w:pPr>
            <w:r w:rsidRPr="00FD5A44">
              <w:rPr>
                <w:rFonts w:cs="Arial"/>
                <w:color w:val="FFFFFF" w:themeColor="background1"/>
                <w:sz w:val="24"/>
              </w:rPr>
              <w:t>Phone items</w:t>
            </w:r>
          </w:p>
        </w:tc>
      </w:tr>
      <w:tr w:rsidR="00BE5E9B" w:rsidRPr="00FD5A44" w14:paraId="057D1F45"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BB08C47" w14:textId="77777777" w:rsidR="00BE5E9B" w:rsidRPr="007401C3" w:rsidRDefault="00BE5E9B" w:rsidP="00386F01">
            <w:pPr>
              <w:rPr>
                <w:rFonts w:cs="Arial"/>
                <w:sz w:val="24"/>
              </w:rPr>
            </w:pPr>
            <w:r w:rsidRPr="007401C3">
              <w:rPr>
                <w:rFonts w:cs="Arial"/>
                <w:sz w:val="24"/>
              </w:rPr>
              <w:t>Attendance for an obvious problem</w:t>
            </w:r>
          </w:p>
        </w:tc>
        <w:tc>
          <w:tcPr>
            <w:tcW w:w="1984" w:type="dxa"/>
          </w:tcPr>
          <w:p w14:paraId="1F026CAB" w14:textId="77777777" w:rsidR="00BE5E9B" w:rsidRPr="00FD5A44" w:rsidRDefault="00BE5E9B" w:rsidP="00386F01">
            <w:pPr>
              <w:cnfStyle w:val="000000100000" w:firstRow="0" w:lastRow="0" w:firstColumn="0" w:lastColumn="0" w:oddVBand="0" w:evenVBand="0" w:oddHBand="1" w:evenHBand="0" w:firstRowFirstColumn="0" w:firstRowLastColumn="0" w:lastRowFirstColumn="0" w:lastRowLastColumn="0"/>
              <w:rPr>
                <w:rFonts w:cs="Arial"/>
                <w:sz w:val="24"/>
              </w:rPr>
            </w:pPr>
            <w:r w:rsidRPr="00FD5A44">
              <w:rPr>
                <w:rFonts w:cs="Arial"/>
                <w:sz w:val="24"/>
              </w:rPr>
              <w:t>82200</w:t>
            </w:r>
          </w:p>
        </w:tc>
        <w:tc>
          <w:tcPr>
            <w:tcW w:w="1843" w:type="dxa"/>
          </w:tcPr>
          <w:p w14:paraId="3B0F8CAD" w14:textId="77777777" w:rsidR="00BE5E9B" w:rsidRPr="00FD5A44" w:rsidRDefault="00BE5E9B" w:rsidP="00386F01">
            <w:pPr>
              <w:cnfStyle w:val="000000100000" w:firstRow="0" w:lastRow="0" w:firstColumn="0" w:lastColumn="0" w:oddVBand="0" w:evenVBand="0" w:oddHBand="1" w:evenHBand="0" w:firstRowFirstColumn="0" w:firstRowLastColumn="0" w:lastRowFirstColumn="0" w:lastRowLastColumn="0"/>
              <w:rPr>
                <w:rFonts w:cs="Arial"/>
                <w:sz w:val="24"/>
              </w:rPr>
            </w:pPr>
            <w:r w:rsidRPr="00FD5A44">
              <w:rPr>
                <w:rFonts w:cs="Arial"/>
                <w:sz w:val="24"/>
              </w:rPr>
              <w:t>91192</w:t>
            </w:r>
          </w:p>
        </w:tc>
        <w:tc>
          <w:tcPr>
            <w:tcW w:w="1977" w:type="dxa"/>
          </w:tcPr>
          <w:p w14:paraId="5E94974C" w14:textId="77777777" w:rsidR="00BE5E9B" w:rsidRPr="00FD5A44" w:rsidRDefault="00BE5E9B" w:rsidP="00386F01">
            <w:pPr>
              <w:cnfStyle w:val="000000100000" w:firstRow="0" w:lastRow="0" w:firstColumn="0" w:lastColumn="0" w:oddVBand="0" w:evenVBand="0" w:oddHBand="1" w:evenHBand="0" w:firstRowFirstColumn="0" w:firstRowLastColumn="0" w:lastRowFirstColumn="0" w:lastRowLastColumn="0"/>
              <w:rPr>
                <w:rFonts w:cs="Arial"/>
                <w:sz w:val="24"/>
              </w:rPr>
            </w:pPr>
            <w:r w:rsidRPr="00FD5A44">
              <w:rPr>
                <w:rFonts w:cs="Arial"/>
                <w:sz w:val="24"/>
              </w:rPr>
              <w:t>91193</w:t>
            </w:r>
          </w:p>
        </w:tc>
      </w:tr>
      <w:tr w:rsidR="00BE5E9B" w:rsidRPr="00FD5A44" w14:paraId="5DA3D3F4" w14:textId="77777777" w:rsidTr="00386F01">
        <w:tc>
          <w:tcPr>
            <w:cnfStyle w:val="001000000000" w:firstRow="0" w:lastRow="0" w:firstColumn="1" w:lastColumn="0" w:oddVBand="0" w:evenVBand="0" w:oddHBand="0" w:evenHBand="0" w:firstRowFirstColumn="0" w:firstRowLastColumn="0" w:lastRowFirstColumn="0" w:lastRowLastColumn="0"/>
            <w:tcW w:w="3256" w:type="dxa"/>
          </w:tcPr>
          <w:p w14:paraId="2C2559AF" w14:textId="77777777" w:rsidR="00BE5E9B" w:rsidRPr="007401C3" w:rsidRDefault="00BE5E9B" w:rsidP="00386F01">
            <w:pPr>
              <w:rPr>
                <w:rFonts w:cs="Arial"/>
                <w:sz w:val="24"/>
              </w:rPr>
            </w:pPr>
            <w:r w:rsidRPr="007401C3">
              <w:rPr>
                <w:rFonts w:cs="Arial"/>
                <w:sz w:val="24"/>
              </w:rPr>
              <w:t>Attendance greater than 6 minutes less than 20 minutes</w:t>
            </w:r>
          </w:p>
        </w:tc>
        <w:tc>
          <w:tcPr>
            <w:tcW w:w="1984" w:type="dxa"/>
          </w:tcPr>
          <w:p w14:paraId="2FEE4A38" w14:textId="77777777" w:rsidR="00BE5E9B" w:rsidRPr="00FD5A44" w:rsidRDefault="00BE5E9B" w:rsidP="00386F01">
            <w:pPr>
              <w:cnfStyle w:val="000000000000" w:firstRow="0" w:lastRow="0" w:firstColumn="0" w:lastColumn="0" w:oddVBand="0" w:evenVBand="0" w:oddHBand="0" w:evenHBand="0" w:firstRowFirstColumn="0" w:firstRowLastColumn="0" w:lastRowFirstColumn="0" w:lastRowLastColumn="0"/>
              <w:rPr>
                <w:rFonts w:cs="Arial"/>
                <w:sz w:val="24"/>
              </w:rPr>
            </w:pPr>
            <w:r w:rsidRPr="00FD5A44">
              <w:rPr>
                <w:rFonts w:cs="Arial"/>
                <w:sz w:val="24"/>
              </w:rPr>
              <w:t>82205</w:t>
            </w:r>
          </w:p>
        </w:tc>
        <w:tc>
          <w:tcPr>
            <w:tcW w:w="1843" w:type="dxa"/>
          </w:tcPr>
          <w:p w14:paraId="63A2104C" w14:textId="77777777" w:rsidR="00BE5E9B" w:rsidRPr="00FD5A44" w:rsidRDefault="00BE5E9B" w:rsidP="00386F01">
            <w:pPr>
              <w:cnfStyle w:val="000000000000" w:firstRow="0" w:lastRow="0" w:firstColumn="0" w:lastColumn="0" w:oddVBand="0" w:evenVBand="0" w:oddHBand="0" w:evenHBand="0" w:firstRowFirstColumn="0" w:firstRowLastColumn="0" w:lastRowFirstColumn="0" w:lastRowLastColumn="0"/>
              <w:rPr>
                <w:rFonts w:cs="Arial"/>
                <w:sz w:val="24"/>
              </w:rPr>
            </w:pPr>
            <w:r w:rsidRPr="00FD5A44">
              <w:rPr>
                <w:rFonts w:cs="Arial"/>
                <w:sz w:val="24"/>
              </w:rPr>
              <w:t>91178</w:t>
            </w:r>
          </w:p>
        </w:tc>
        <w:tc>
          <w:tcPr>
            <w:tcW w:w="1977" w:type="dxa"/>
          </w:tcPr>
          <w:p w14:paraId="5B581829" w14:textId="77777777" w:rsidR="00BE5E9B" w:rsidRPr="00FD5A44" w:rsidRDefault="00BE5E9B" w:rsidP="00386F01">
            <w:pPr>
              <w:cnfStyle w:val="000000000000" w:firstRow="0" w:lastRow="0" w:firstColumn="0" w:lastColumn="0" w:oddVBand="0" w:evenVBand="0" w:oddHBand="0" w:evenHBand="0" w:firstRowFirstColumn="0" w:firstRowLastColumn="0" w:lastRowFirstColumn="0" w:lastRowLastColumn="0"/>
              <w:rPr>
                <w:rFonts w:cs="Arial"/>
                <w:sz w:val="24"/>
              </w:rPr>
            </w:pPr>
            <w:r w:rsidRPr="00FD5A44">
              <w:rPr>
                <w:rFonts w:cs="Arial"/>
                <w:sz w:val="24"/>
              </w:rPr>
              <w:t>91189</w:t>
            </w:r>
          </w:p>
        </w:tc>
      </w:tr>
      <w:tr w:rsidR="00BE5E9B" w:rsidRPr="00FD5A44" w14:paraId="71F68874"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1072987" w14:textId="77777777" w:rsidR="00BE5E9B" w:rsidRPr="007401C3" w:rsidRDefault="00BE5E9B" w:rsidP="00386F01">
            <w:pPr>
              <w:rPr>
                <w:rFonts w:cs="Arial"/>
                <w:sz w:val="24"/>
              </w:rPr>
            </w:pPr>
            <w:r w:rsidRPr="007401C3">
              <w:rPr>
                <w:rFonts w:cs="Arial"/>
                <w:sz w:val="24"/>
              </w:rPr>
              <w:t>Attendance at least 20 minutes</w:t>
            </w:r>
          </w:p>
        </w:tc>
        <w:tc>
          <w:tcPr>
            <w:tcW w:w="1984" w:type="dxa"/>
          </w:tcPr>
          <w:p w14:paraId="3AD123D8" w14:textId="77777777" w:rsidR="00BE5E9B" w:rsidRPr="00FD5A44" w:rsidRDefault="00BE5E9B" w:rsidP="00386F01">
            <w:pPr>
              <w:cnfStyle w:val="000000100000" w:firstRow="0" w:lastRow="0" w:firstColumn="0" w:lastColumn="0" w:oddVBand="0" w:evenVBand="0" w:oddHBand="1" w:evenHBand="0" w:firstRowFirstColumn="0" w:firstRowLastColumn="0" w:lastRowFirstColumn="0" w:lastRowLastColumn="0"/>
              <w:rPr>
                <w:rFonts w:cs="Arial"/>
                <w:sz w:val="24"/>
              </w:rPr>
            </w:pPr>
            <w:r w:rsidRPr="00FD5A44">
              <w:rPr>
                <w:rFonts w:cs="Arial"/>
                <w:sz w:val="24"/>
              </w:rPr>
              <w:t>82210</w:t>
            </w:r>
          </w:p>
        </w:tc>
        <w:tc>
          <w:tcPr>
            <w:tcW w:w="1843" w:type="dxa"/>
          </w:tcPr>
          <w:p w14:paraId="0458DC6E" w14:textId="77777777" w:rsidR="00BE5E9B" w:rsidRPr="00FD5A44" w:rsidRDefault="00BE5E9B" w:rsidP="00386F01">
            <w:pPr>
              <w:cnfStyle w:val="000000100000" w:firstRow="0" w:lastRow="0" w:firstColumn="0" w:lastColumn="0" w:oddVBand="0" w:evenVBand="0" w:oddHBand="1" w:evenHBand="0" w:firstRowFirstColumn="0" w:firstRowLastColumn="0" w:lastRowFirstColumn="0" w:lastRowLastColumn="0"/>
              <w:rPr>
                <w:rFonts w:cs="Arial"/>
                <w:sz w:val="24"/>
              </w:rPr>
            </w:pPr>
            <w:r w:rsidRPr="00FD5A44">
              <w:rPr>
                <w:rFonts w:cs="Arial"/>
                <w:sz w:val="24"/>
              </w:rPr>
              <w:t>91179</w:t>
            </w:r>
          </w:p>
        </w:tc>
        <w:tc>
          <w:tcPr>
            <w:tcW w:w="1977" w:type="dxa"/>
          </w:tcPr>
          <w:p w14:paraId="600D1BF6" w14:textId="77777777" w:rsidR="00BE5E9B" w:rsidRPr="00FD5A44" w:rsidRDefault="00BE5E9B" w:rsidP="00386F01">
            <w:pPr>
              <w:cnfStyle w:val="000000100000" w:firstRow="0" w:lastRow="0" w:firstColumn="0" w:lastColumn="0" w:oddVBand="0" w:evenVBand="0" w:oddHBand="1" w:evenHBand="0" w:firstRowFirstColumn="0" w:firstRowLastColumn="0" w:lastRowFirstColumn="0" w:lastRowLastColumn="0"/>
              <w:rPr>
                <w:rFonts w:cs="Arial"/>
                <w:sz w:val="24"/>
              </w:rPr>
            </w:pPr>
            <w:r w:rsidRPr="00FD5A44">
              <w:rPr>
                <w:rFonts w:cs="Arial"/>
                <w:sz w:val="24"/>
              </w:rPr>
              <w:t>91190</w:t>
            </w:r>
          </w:p>
        </w:tc>
      </w:tr>
      <w:tr w:rsidR="00BE5E9B" w:rsidRPr="00FD5A44" w14:paraId="1226F744" w14:textId="77777777" w:rsidTr="00386F01">
        <w:tc>
          <w:tcPr>
            <w:cnfStyle w:val="001000000000" w:firstRow="0" w:lastRow="0" w:firstColumn="1" w:lastColumn="0" w:oddVBand="0" w:evenVBand="0" w:oddHBand="0" w:evenHBand="0" w:firstRowFirstColumn="0" w:firstRowLastColumn="0" w:lastRowFirstColumn="0" w:lastRowLastColumn="0"/>
            <w:tcW w:w="3256" w:type="dxa"/>
          </w:tcPr>
          <w:p w14:paraId="19DDAD0C" w14:textId="77777777" w:rsidR="00BE5E9B" w:rsidRPr="007401C3" w:rsidRDefault="00BE5E9B" w:rsidP="00386F01">
            <w:pPr>
              <w:rPr>
                <w:rFonts w:cs="Arial"/>
                <w:sz w:val="24"/>
              </w:rPr>
            </w:pPr>
            <w:r w:rsidRPr="007401C3">
              <w:rPr>
                <w:rFonts w:cs="Arial"/>
                <w:sz w:val="24"/>
              </w:rPr>
              <w:t>Attendance at least 40 minutes</w:t>
            </w:r>
          </w:p>
        </w:tc>
        <w:tc>
          <w:tcPr>
            <w:tcW w:w="1984" w:type="dxa"/>
          </w:tcPr>
          <w:p w14:paraId="68447634" w14:textId="77777777" w:rsidR="00BE5E9B" w:rsidRPr="00FD5A44" w:rsidRDefault="00BE5E9B" w:rsidP="00386F01">
            <w:pPr>
              <w:cnfStyle w:val="000000000000" w:firstRow="0" w:lastRow="0" w:firstColumn="0" w:lastColumn="0" w:oddVBand="0" w:evenVBand="0" w:oddHBand="0" w:evenHBand="0" w:firstRowFirstColumn="0" w:firstRowLastColumn="0" w:lastRowFirstColumn="0" w:lastRowLastColumn="0"/>
              <w:rPr>
                <w:rFonts w:cs="Arial"/>
                <w:sz w:val="24"/>
              </w:rPr>
            </w:pPr>
            <w:r w:rsidRPr="00FD5A44">
              <w:rPr>
                <w:rFonts w:cs="Arial"/>
                <w:sz w:val="24"/>
              </w:rPr>
              <w:t>82215</w:t>
            </w:r>
          </w:p>
        </w:tc>
        <w:tc>
          <w:tcPr>
            <w:tcW w:w="1843" w:type="dxa"/>
          </w:tcPr>
          <w:p w14:paraId="2577A8B8" w14:textId="77777777" w:rsidR="00BE5E9B" w:rsidRPr="00FD5A44" w:rsidRDefault="00BE5E9B" w:rsidP="00386F01">
            <w:pPr>
              <w:cnfStyle w:val="000000000000" w:firstRow="0" w:lastRow="0" w:firstColumn="0" w:lastColumn="0" w:oddVBand="0" w:evenVBand="0" w:oddHBand="0" w:evenHBand="0" w:firstRowFirstColumn="0" w:firstRowLastColumn="0" w:lastRowFirstColumn="0" w:lastRowLastColumn="0"/>
              <w:rPr>
                <w:rFonts w:cs="Arial"/>
                <w:sz w:val="24"/>
              </w:rPr>
            </w:pPr>
            <w:r w:rsidRPr="00FD5A44">
              <w:rPr>
                <w:rFonts w:cs="Arial"/>
                <w:sz w:val="24"/>
              </w:rPr>
              <w:t>91180</w:t>
            </w:r>
          </w:p>
        </w:tc>
        <w:tc>
          <w:tcPr>
            <w:tcW w:w="1977" w:type="dxa"/>
          </w:tcPr>
          <w:p w14:paraId="7A907009" w14:textId="77777777" w:rsidR="00BE5E9B" w:rsidRPr="00FD5A44" w:rsidRDefault="00BE5E9B" w:rsidP="00386F01">
            <w:pPr>
              <w:cnfStyle w:val="000000000000" w:firstRow="0" w:lastRow="0" w:firstColumn="0" w:lastColumn="0" w:oddVBand="0" w:evenVBand="0" w:oddHBand="0" w:evenHBand="0" w:firstRowFirstColumn="0" w:firstRowLastColumn="0" w:lastRowFirstColumn="0" w:lastRowLastColumn="0"/>
              <w:rPr>
                <w:rFonts w:cs="Arial"/>
                <w:sz w:val="24"/>
              </w:rPr>
            </w:pPr>
            <w:r w:rsidRPr="00FD5A44">
              <w:rPr>
                <w:rFonts w:cs="Arial"/>
                <w:sz w:val="24"/>
              </w:rPr>
              <w:t>91191</w:t>
            </w:r>
          </w:p>
        </w:tc>
      </w:tr>
      <w:tr w:rsidR="00BE5E9B" w:rsidRPr="00FD5A44" w14:paraId="232DE78B"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BE8B80D" w14:textId="77777777" w:rsidR="00BE5E9B" w:rsidRPr="007401C3" w:rsidRDefault="00BE5E9B" w:rsidP="00386F01">
            <w:pPr>
              <w:rPr>
                <w:rFonts w:cs="Arial"/>
                <w:sz w:val="24"/>
              </w:rPr>
            </w:pPr>
            <w:r w:rsidRPr="007401C3">
              <w:rPr>
                <w:rFonts w:cs="Arial"/>
                <w:sz w:val="24"/>
              </w:rPr>
              <w:t>Attendance at least 60 minutes</w:t>
            </w:r>
          </w:p>
        </w:tc>
        <w:tc>
          <w:tcPr>
            <w:tcW w:w="1984" w:type="dxa"/>
          </w:tcPr>
          <w:p w14:paraId="29E9CE73" w14:textId="77777777" w:rsidR="00BE5E9B" w:rsidRPr="00FD5A44" w:rsidRDefault="00BE5E9B" w:rsidP="00386F01">
            <w:pPr>
              <w:cnfStyle w:val="000000100000" w:firstRow="0" w:lastRow="0" w:firstColumn="0" w:lastColumn="0" w:oddVBand="0" w:evenVBand="0" w:oddHBand="1" w:evenHBand="0" w:firstRowFirstColumn="0" w:firstRowLastColumn="0" w:lastRowFirstColumn="0" w:lastRowLastColumn="0"/>
              <w:rPr>
                <w:rFonts w:cs="Arial"/>
                <w:sz w:val="24"/>
              </w:rPr>
            </w:pPr>
            <w:r w:rsidRPr="00FD5A44">
              <w:rPr>
                <w:rFonts w:cs="Arial"/>
                <w:sz w:val="24"/>
              </w:rPr>
              <w:t>82216</w:t>
            </w:r>
          </w:p>
        </w:tc>
        <w:tc>
          <w:tcPr>
            <w:tcW w:w="1843" w:type="dxa"/>
          </w:tcPr>
          <w:p w14:paraId="09A1D1D8" w14:textId="77777777" w:rsidR="00BE5E9B" w:rsidRPr="00FD5A44" w:rsidRDefault="00BE5E9B" w:rsidP="00386F01">
            <w:pPr>
              <w:cnfStyle w:val="000000100000" w:firstRow="0" w:lastRow="0" w:firstColumn="0" w:lastColumn="0" w:oddVBand="0" w:evenVBand="0" w:oddHBand="1" w:evenHBand="0" w:firstRowFirstColumn="0" w:firstRowLastColumn="0" w:lastRowFirstColumn="0" w:lastRowLastColumn="0"/>
              <w:rPr>
                <w:rFonts w:cs="Arial"/>
                <w:sz w:val="24"/>
              </w:rPr>
            </w:pPr>
            <w:r w:rsidRPr="00FD5A44">
              <w:rPr>
                <w:rFonts w:cs="Arial"/>
                <w:sz w:val="24"/>
              </w:rPr>
              <w:t>91206</w:t>
            </w:r>
          </w:p>
        </w:tc>
        <w:tc>
          <w:tcPr>
            <w:tcW w:w="1977" w:type="dxa"/>
          </w:tcPr>
          <w:p w14:paraId="1FFC0A90" w14:textId="77777777" w:rsidR="00BE5E9B" w:rsidRPr="00FD5A44" w:rsidRDefault="00BE5E9B" w:rsidP="00386F01">
            <w:pPr>
              <w:cnfStyle w:val="000000100000" w:firstRow="0" w:lastRow="0" w:firstColumn="0" w:lastColumn="0" w:oddVBand="0" w:evenVBand="0" w:oddHBand="1" w:evenHBand="0" w:firstRowFirstColumn="0" w:firstRowLastColumn="0" w:lastRowFirstColumn="0" w:lastRowLastColumn="0"/>
              <w:rPr>
                <w:rFonts w:cs="Arial"/>
                <w:sz w:val="24"/>
              </w:rPr>
            </w:pPr>
          </w:p>
        </w:tc>
      </w:tr>
    </w:tbl>
    <w:p w14:paraId="508B4C47" w14:textId="0B9F0AE6" w:rsidR="00BE3ED5" w:rsidRPr="00264239" w:rsidRDefault="00BE3ED5" w:rsidP="00BE3ED5">
      <w:pPr>
        <w:rPr>
          <w:rFonts w:cs="Arial"/>
        </w:rPr>
      </w:pPr>
    </w:p>
    <w:p w14:paraId="7A410FAE" w14:textId="77777777" w:rsidR="007C31DD" w:rsidRPr="00264239" w:rsidRDefault="007C31DD" w:rsidP="007C31DD">
      <w:pPr>
        <w:pStyle w:val="Disclaimer"/>
        <w:rPr>
          <w:rFonts w:cs="Arial"/>
        </w:rPr>
      </w:pPr>
      <w:r w:rsidRPr="00264239">
        <w:rPr>
          <w:rFonts w:cs="Arial"/>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Pr="00264239" w:rsidRDefault="007C31DD" w:rsidP="007C31DD">
      <w:pPr>
        <w:pStyle w:val="Disclaimer"/>
        <w:rPr>
          <w:rFonts w:cs="Arial"/>
        </w:rPr>
      </w:pPr>
      <w:r w:rsidRPr="00264239">
        <w:rPr>
          <w:rFonts w:cs="Arial"/>
        </w:rPr>
        <w:t xml:space="preserve">This </w:t>
      </w:r>
      <w:r w:rsidR="004E5226" w:rsidRPr="00264239">
        <w:rPr>
          <w:rFonts w:cs="Arial"/>
        </w:rPr>
        <w:t>fact</w:t>
      </w:r>
      <w:r w:rsidRPr="00264239">
        <w:rPr>
          <w:rFonts w:cs="Arial"/>
        </w:rPr>
        <w:t>sheet is current as of the Last updated date shown above and does not account for MBS changes since that date.</w:t>
      </w:r>
    </w:p>
    <w:p w14:paraId="6F71C28A" w14:textId="77777777" w:rsidR="007C31DD" w:rsidRPr="00BE3ED5" w:rsidRDefault="007C31DD" w:rsidP="00BE3ED5"/>
    <w:sectPr w:rsidR="007C31DD" w:rsidRPr="00BE3ED5" w:rsidSect="00B53987">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CF760" w14:textId="77777777" w:rsidR="00DA5261" w:rsidRDefault="00DA5261" w:rsidP="006B56BB">
      <w:r>
        <w:separator/>
      </w:r>
    </w:p>
    <w:p w14:paraId="477B1250" w14:textId="77777777" w:rsidR="00DA5261" w:rsidRDefault="00DA5261"/>
  </w:endnote>
  <w:endnote w:type="continuationSeparator" w:id="0">
    <w:p w14:paraId="0E76BD7D" w14:textId="77777777" w:rsidR="00DA5261" w:rsidRDefault="00DA5261" w:rsidP="006B56BB">
      <w:r>
        <w:continuationSeparator/>
      </w:r>
    </w:p>
    <w:p w14:paraId="7C5015EF" w14:textId="77777777" w:rsidR="00DA5261" w:rsidRDefault="00DA5261"/>
  </w:endnote>
  <w:endnote w:type="continuationNotice" w:id="1">
    <w:p w14:paraId="209023F3" w14:textId="77777777" w:rsidR="00DA5261" w:rsidRDefault="00DA5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86140" w14:textId="711FFAF2" w:rsidR="00516E97" w:rsidRDefault="00A66BB8">
    <w:pPr>
      <w:pStyle w:val="Footer"/>
    </w:pPr>
    <w:r>
      <w:rPr>
        <w:noProof/>
      </w:rPr>
      <mc:AlternateContent>
        <mc:Choice Requires="wps">
          <w:drawing>
            <wp:anchor distT="0" distB="0" distL="0" distR="0" simplePos="0" relativeHeight="251668480" behindDoc="0" locked="0" layoutInCell="1" allowOverlap="1" wp14:anchorId="72EAFB70" wp14:editId="1D9DEA8B">
              <wp:simplePos x="635" y="635"/>
              <wp:positionH relativeFrom="page">
                <wp:align>center</wp:align>
              </wp:positionH>
              <wp:positionV relativeFrom="page">
                <wp:align>bottom</wp:align>
              </wp:positionV>
              <wp:extent cx="551815" cy="480695"/>
              <wp:effectExtent l="0" t="0" r="635" b="0"/>
              <wp:wrapNone/>
              <wp:docPr id="166524972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C36AF4C" w14:textId="38EFDBC3" w:rsidR="00A66BB8" w:rsidRPr="00A66BB8" w:rsidRDefault="00A66BB8" w:rsidP="00A66BB8">
                          <w:pPr>
                            <w:spacing w:after="0"/>
                            <w:rPr>
                              <w:rFonts w:ascii="Calibri" w:eastAsia="Calibri" w:hAnsi="Calibri" w:cs="Calibri"/>
                              <w:noProof/>
                              <w:color w:val="FF0000"/>
                              <w:sz w:val="24"/>
                            </w:rPr>
                          </w:pPr>
                          <w:r w:rsidRPr="00A66BB8">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AFB70"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7.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5C36AF4C" w14:textId="38EFDBC3" w:rsidR="00A66BB8" w:rsidRPr="00A66BB8" w:rsidRDefault="00A66BB8" w:rsidP="00A66BB8">
                    <w:pPr>
                      <w:spacing w:after="0"/>
                      <w:rPr>
                        <w:rFonts w:ascii="Calibri" w:eastAsia="Calibri" w:hAnsi="Calibri" w:cs="Calibri"/>
                        <w:noProof/>
                        <w:color w:val="FF0000"/>
                        <w:sz w:val="24"/>
                      </w:rPr>
                    </w:pPr>
                    <w:r w:rsidRPr="00A66BB8">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5F1D10A0" w:rsidR="00F51321" w:rsidRPr="00BD1D77" w:rsidRDefault="00A66BB8" w:rsidP="00F51321">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9504" behindDoc="0" locked="0" layoutInCell="1" allowOverlap="1" wp14:anchorId="7913AF5A" wp14:editId="61A6F18A">
              <wp:simplePos x="635" y="635"/>
              <wp:positionH relativeFrom="page">
                <wp:align>center</wp:align>
              </wp:positionH>
              <wp:positionV relativeFrom="page">
                <wp:align>bottom</wp:align>
              </wp:positionV>
              <wp:extent cx="551815" cy="480695"/>
              <wp:effectExtent l="0" t="0" r="635" b="0"/>
              <wp:wrapNone/>
              <wp:docPr id="11950425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8658457" w14:textId="5055719B" w:rsidR="00A66BB8" w:rsidRPr="00A66BB8" w:rsidRDefault="00A66BB8" w:rsidP="00A66BB8">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13AF5A" id="_x0000_t202" coordsize="21600,21600" o:spt="202" path="m,l,21600r21600,l21600,xe">
              <v:stroke joinstyle="miter"/>
              <v:path gradientshapeok="t" o:connecttype="rect"/>
            </v:shapetype>
            <v:shape id="Text Box 6" o:spid="_x0000_s1029" type="#_x0000_t202" alt="OFFICIAL" style="position:absolute;margin-left:0;margin-top:0;width:43.45pt;height:37.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08658457" w14:textId="5055719B" w:rsidR="00A66BB8" w:rsidRPr="00A66BB8" w:rsidRDefault="00A66BB8" w:rsidP="00A66BB8">
                    <w:pPr>
                      <w:spacing w:after="0"/>
                      <w:rPr>
                        <w:rFonts w:ascii="Calibri" w:eastAsia="Calibri" w:hAnsi="Calibri" w:cs="Calibri"/>
                        <w:noProof/>
                        <w:color w:val="FF0000"/>
                        <w:sz w:val="24"/>
                      </w:rPr>
                    </w:pPr>
                  </w:p>
                </w:txbxContent>
              </v:textbox>
              <w10:wrap anchorx="page" anchory="page"/>
            </v:shape>
          </w:pict>
        </mc:Fallback>
      </mc:AlternateContent>
    </w:r>
    <w:r w:rsidR="003D61C6">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4B765455" w:rsidR="00F51321" w:rsidRPr="00BD1D77" w:rsidRDefault="00BE5E9B" w:rsidP="00F51321">
    <w:pPr>
      <w:pStyle w:val="Footer"/>
      <w:tabs>
        <w:tab w:val="clear" w:pos="9026"/>
        <w:tab w:val="right" w:pos="10466"/>
      </w:tabs>
      <w:rPr>
        <w:szCs w:val="20"/>
      </w:rPr>
    </w:pPr>
    <w:r>
      <w:rPr>
        <w:b/>
        <w:szCs w:val="20"/>
      </w:rPr>
      <w:t xml:space="preserve">MBS telehealth’s </w:t>
    </w:r>
    <w:r w:rsidR="00F83E68">
      <w:rPr>
        <w:b/>
        <w:szCs w:val="20"/>
      </w:rPr>
      <w:t xml:space="preserve">Specialist out of </w:t>
    </w:r>
    <w:proofErr w:type="gramStart"/>
    <w:r w:rsidR="00F83E68">
      <w:rPr>
        <w:b/>
        <w:szCs w:val="20"/>
      </w:rPr>
      <w:t>hospital</w:t>
    </w:r>
    <w:r>
      <w:rPr>
        <w:b/>
        <w:szCs w:val="20"/>
      </w:rPr>
      <w:t xml:space="preserve"> </w:t>
    </w:r>
    <w:r w:rsidR="00F51321" w:rsidRPr="00BD1D77">
      <w:rPr>
        <w:b/>
        <w:szCs w:val="20"/>
      </w:rPr>
      <w:t xml:space="preserve"> –</w:t>
    </w:r>
    <w:proofErr w:type="gramEnd"/>
    <w:r w:rsidR="00F51321" w:rsidRPr="00BD1D77">
      <w:rPr>
        <w:b/>
        <w:szCs w:val="20"/>
      </w:rPr>
      <w:t xml:space="preserve">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37D4F49D" w:rsidR="00CB03B8" w:rsidRPr="00F51321" w:rsidRDefault="00F51321" w:rsidP="00292535">
    <w:pPr>
      <w:pStyle w:val="Footer"/>
      <w:jc w:val="left"/>
    </w:pPr>
    <w:r w:rsidRPr="00BD1D77">
      <w:rPr>
        <w:szCs w:val="20"/>
      </w:rPr>
      <w:t xml:space="preserve">Last updated – </w:t>
    </w:r>
    <w:r w:rsidR="00D60CEE">
      <w:rPr>
        <w:szCs w:val="20"/>
      </w:rPr>
      <w:t>13 October</w:t>
    </w:r>
    <w:r w:rsidR="00BE5E9B">
      <w:rPr>
        <w:szCs w:val="20"/>
      </w:rPr>
      <w:t xml:space="preserve"> </w:t>
    </w:r>
    <w:r w:rsidR="00696A32">
      <w:rPr>
        <w:szCs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81DD9" w14:textId="56380B4C" w:rsidR="00F83E68" w:rsidRPr="00BD1D77" w:rsidRDefault="00A66BB8" w:rsidP="00F83E68">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7456" behindDoc="0" locked="0" layoutInCell="1" allowOverlap="1" wp14:anchorId="3F163A93" wp14:editId="3CE47925">
              <wp:simplePos x="635" y="635"/>
              <wp:positionH relativeFrom="page">
                <wp:align>center</wp:align>
              </wp:positionH>
              <wp:positionV relativeFrom="page">
                <wp:align>bottom</wp:align>
              </wp:positionV>
              <wp:extent cx="551815" cy="480695"/>
              <wp:effectExtent l="0" t="0" r="635" b="0"/>
              <wp:wrapNone/>
              <wp:docPr id="16327166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CD792E6" w14:textId="22FEA5DA" w:rsidR="00A66BB8" w:rsidRPr="00A66BB8" w:rsidRDefault="00A66BB8" w:rsidP="00A66BB8">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163A93" id="_x0000_t202" coordsize="21600,21600" o:spt="202" path="m,l,21600r21600,l21600,xe">
              <v:stroke joinstyle="miter"/>
              <v:path gradientshapeok="t" o:connecttype="rect"/>
            </v:shapetype>
            <v:shape id="Text Box 4" o:spid="_x0000_s1031" type="#_x0000_t202" alt="OFFICIAL" style="position:absolute;margin-left:0;margin-top:0;width:43.45pt;height:37.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5CD792E6" w14:textId="22FEA5DA" w:rsidR="00A66BB8" w:rsidRPr="00A66BB8" w:rsidRDefault="00A66BB8" w:rsidP="00A66BB8">
                    <w:pPr>
                      <w:spacing w:after="0"/>
                      <w:rPr>
                        <w:rFonts w:ascii="Calibri" w:eastAsia="Calibri" w:hAnsi="Calibri" w:cs="Calibri"/>
                        <w:noProof/>
                        <w:color w:val="FF0000"/>
                        <w:sz w:val="24"/>
                      </w:rPr>
                    </w:pPr>
                  </w:p>
                </w:txbxContent>
              </v:textbox>
              <w10:wrap anchorx="page" anchory="page"/>
            </v:shape>
          </w:pict>
        </mc:Fallback>
      </mc:AlternateContent>
    </w:r>
    <w:r w:rsidR="003D61C6">
      <w:rPr>
        <w:rStyle w:val="BookTitle"/>
        <w:rFonts w:eastAsiaTheme="minorEastAsia"/>
        <w:noProof/>
      </w:rPr>
      <w:pict w14:anchorId="1DB3991B">
        <v:rect id="_x0000_i1026" style="width:523.3pt;height:1.9pt" o:hralign="center" o:hrstd="t" o:hr="t" fillcolor="#a0a0a0" stroked="f"/>
      </w:pict>
    </w:r>
    <w:r w:rsidR="00F83E68" w:rsidRPr="00BD1D77">
      <w:rPr>
        <w:szCs w:val="20"/>
      </w:rPr>
      <w:t>Medicare Benefits Schedule</w:t>
    </w:r>
  </w:p>
  <w:p w14:paraId="330DDBE9" w14:textId="650C8FCA" w:rsidR="00F83E68" w:rsidRPr="00BD1D77" w:rsidRDefault="00F83E68" w:rsidP="00F83E68">
    <w:pPr>
      <w:pStyle w:val="Footer"/>
      <w:tabs>
        <w:tab w:val="clear" w:pos="9026"/>
        <w:tab w:val="right" w:pos="10466"/>
      </w:tabs>
      <w:rPr>
        <w:szCs w:val="20"/>
      </w:rPr>
    </w:pPr>
    <w:r>
      <w:rPr>
        <w:b/>
        <w:szCs w:val="20"/>
      </w:rPr>
      <w:t>MBS telehealth’s Specialist out of hospital</w:t>
    </w:r>
    <w:r w:rsidRPr="00BD1D77">
      <w:rPr>
        <w:b/>
        <w:szCs w:val="20"/>
      </w:rPr>
      <w:t xml:space="preserve"> – Factsheet</w:t>
    </w:r>
    <w:r w:rsidRPr="00BD1D77">
      <w:rPr>
        <w:szCs w:val="20"/>
      </w:rPr>
      <w:t xml:space="preserve"> </w:t>
    </w:r>
    <w:sdt>
      <w:sdtPr>
        <w:rPr>
          <w:szCs w:val="20"/>
        </w:rPr>
        <w:id w:val="-305087552"/>
        <w:docPartObj>
          <w:docPartGallery w:val="Page Numbers (Bottom of Page)"/>
          <w:docPartUnique/>
        </w:docPartObj>
      </w:sdtPr>
      <w:sdtEndPr>
        <w:rPr>
          <w:noProof/>
        </w:rPr>
      </w:sdtEndPr>
      <w:sdtContent>
        <w:r w:rsidRPr="00BD1D77">
          <w:rPr>
            <w:szCs w:val="20"/>
          </w:rPr>
          <w:tab/>
        </w:r>
        <w:sdt>
          <w:sdtPr>
            <w:rPr>
              <w:szCs w:val="20"/>
            </w:rPr>
            <w:id w:val="757799912"/>
            <w:docPartObj>
              <w:docPartGallery w:val="Page Numbers (Bottom of Page)"/>
              <w:docPartUnique/>
            </w:docPartObj>
          </w:sdtPr>
          <w:sdtEndPr/>
          <w:sdtContent>
            <w:sdt>
              <w:sdtPr>
                <w:rPr>
                  <w:szCs w:val="20"/>
                </w:rPr>
                <w:id w:val="-414246043"/>
                <w:docPartObj>
                  <w:docPartGallery w:val="Page Numbers (Top of Page)"/>
                  <w:docPartUnique/>
                </w:docPartObj>
              </w:sdtPr>
              <w:sdtEndPr/>
              <w:sdtContent>
                <w:r w:rsidRPr="00BD1D77">
                  <w:rPr>
                    <w:szCs w:val="20"/>
                  </w:rPr>
                  <w:t xml:space="preserve">Page </w:t>
                </w:r>
                <w:r w:rsidRPr="00292535">
                  <w:rPr>
                    <w:bCs/>
                    <w:szCs w:val="20"/>
                  </w:rPr>
                  <w:fldChar w:fldCharType="begin"/>
                </w:r>
                <w:r w:rsidRPr="00BD1D77">
                  <w:rPr>
                    <w:bCs/>
                    <w:szCs w:val="20"/>
                  </w:rPr>
                  <w:instrText xml:space="preserve"> PAGE </w:instrText>
                </w:r>
                <w:r w:rsidRPr="00292535">
                  <w:rPr>
                    <w:bCs/>
                    <w:szCs w:val="20"/>
                  </w:rPr>
                  <w:fldChar w:fldCharType="separate"/>
                </w:r>
                <w:r>
                  <w:rPr>
                    <w:bCs/>
                    <w:szCs w:val="20"/>
                  </w:rPr>
                  <w:t>2</w:t>
                </w:r>
                <w:r w:rsidRPr="00292535">
                  <w:rPr>
                    <w:bCs/>
                    <w:szCs w:val="20"/>
                  </w:rPr>
                  <w:fldChar w:fldCharType="end"/>
                </w:r>
                <w:r w:rsidRPr="00BD1D77">
                  <w:rPr>
                    <w:szCs w:val="20"/>
                  </w:rPr>
                  <w:t xml:space="preserve"> of </w:t>
                </w:r>
                <w:r w:rsidRPr="00292535">
                  <w:rPr>
                    <w:bCs/>
                    <w:szCs w:val="20"/>
                  </w:rPr>
                  <w:fldChar w:fldCharType="begin"/>
                </w:r>
                <w:r w:rsidRPr="00BD1D77">
                  <w:rPr>
                    <w:bCs/>
                    <w:szCs w:val="20"/>
                  </w:rPr>
                  <w:instrText xml:space="preserve"> NUMPAGES  </w:instrText>
                </w:r>
                <w:r w:rsidRPr="00292535">
                  <w:rPr>
                    <w:bCs/>
                    <w:szCs w:val="20"/>
                  </w:rPr>
                  <w:fldChar w:fldCharType="separate"/>
                </w:r>
                <w:r>
                  <w:rPr>
                    <w:bCs/>
                    <w:szCs w:val="20"/>
                  </w:rPr>
                  <w:t>9</w:t>
                </w:r>
                <w:r w:rsidRPr="00292535">
                  <w:rPr>
                    <w:bCs/>
                    <w:szCs w:val="20"/>
                  </w:rPr>
                  <w:fldChar w:fldCharType="end"/>
                </w:r>
              </w:sdtContent>
            </w:sdt>
          </w:sdtContent>
        </w:sdt>
        <w:r w:rsidRPr="00BD1D77">
          <w:rPr>
            <w:szCs w:val="20"/>
          </w:rPr>
          <w:t xml:space="preserve"> </w:t>
        </w:r>
      </w:sdtContent>
    </w:sdt>
  </w:p>
  <w:p w14:paraId="35BA3776" w14:textId="77777777" w:rsidR="00F83E68" w:rsidRPr="00BD1D77" w:rsidRDefault="00F83E68" w:rsidP="00F83E68">
    <w:pPr>
      <w:pStyle w:val="Footer"/>
      <w:jc w:val="left"/>
      <w:rPr>
        <w:rStyle w:val="Hyperlink"/>
        <w:szCs w:val="20"/>
      </w:rPr>
    </w:pPr>
    <w:hyperlink r:id="rId1" w:history="1">
      <w:r w:rsidRPr="00BD1D77">
        <w:rPr>
          <w:rStyle w:val="Hyperlink"/>
          <w:szCs w:val="20"/>
        </w:rPr>
        <w:t>MBS Online</w:t>
      </w:r>
    </w:hyperlink>
  </w:p>
  <w:p w14:paraId="43EE7E16" w14:textId="57D88201" w:rsidR="00F83E68" w:rsidRPr="00F51321" w:rsidRDefault="00F83E68" w:rsidP="00F83E68">
    <w:pPr>
      <w:pStyle w:val="Footer"/>
      <w:jc w:val="left"/>
    </w:pPr>
    <w:r w:rsidRPr="00BD1D77">
      <w:rPr>
        <w:szCs w:val="20"/>
      </w:rPr>
      <w:t xml:space="preserve">Last updated – </w:t>
    </w:r>
    <w:r w:rsidR="00D60CEE">
      <w:rPr>
        <w:szCs w:val="20"/>
      </w:rPr>
      <w:t>13 October</w:t>
    </w:r>
    <w:r>
      <w:rPr>
        <w:szCs w:val="20"/>
      </w:rPr>
      <w:t xml:space="preserve"> 2025</w:t>
    </w:r>
  </w:p>
  <w:p w14:paraId="2964AB57" w14:textId="2F67F220" w:rsidR="00CB03B8" w:rsidRPr="00064168" w:rsidRDefault="00CB03B8" w:rsidP="00F83E6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B8193" w14:textId="77777777" w:rsidR="00DA5261" w:rsidRDefault="00DA5261" w:rsidP="006B56BB">
      <w:r>
        <w:separator/>
      </w:r>
    </w:p>
    <w:p w14:paraId="1F46AD89" w14:textId="77777777" w:rsidR="00DA5261" w:rsidRDefault="00DA5261"/>
  </w:footnote>
  <w:footnote w:type="continuationSeparator" w:id="0">
    <w:p w14:paraId="35BF73F0" w14:textId="77777777" w:rsidR="00DA5261" w:rsidRDefault="00DA5261" w:rsidP="006B56BB">
      <w:r>
        <w:continuationSeparator/>
      </w:r>
    </w:p>
    <w:p w14:paraId="0CCF85BF" w14:textId="77777777" w:rsidR="00DA5261" w:rsidRDefault="00DA5261"/>
  </w:footnote>
  <w:footnote w:type="continuationNotice" w:id="1">
    <w:p w14:paraId="1D2C280D" w14:textId="77777777" w:rsidR="00DA5261" w:rsidRDefault="00DA5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1332" w14:textId="6DABAC50" w:rsidR="00516E97" w:rsidRDefault="00A66BB8">
    <w:pPr>
      <w:pStyle w:val="Header"/>
    </w:pPr>
    <w:r>
      <w:rPr>
        <w:noProof/>
      </w:rPr>
      <mc:AlternateContent>
        <mc:Choice Requires="wps">
          <w:drawing>
            <wp:anchor distT="0" distB="0" distL="0" distR="0" simplePos="0" relativeHeight="251665408" behindDoc="0" locked="0" layoutInCell="1" allowOverlap="1" wp14:anchorId="6DFE7943" wp14:editId="2BB87D9A">
              <wp:simplePos x="635" y="635"/>
              <wp:positionH relativeFrom="page">
                <wp:align>center</wp:align>
              </wp:positionH>
              <wp:positionV relativeFrom="page">
                <wp:align>top</wp:align>
              </wp:positionV>
              <wp:extent cx="551815" cy="480695"/>
              <wp:effectExtent l="0" t="0" r="635" b="14605"/>
              <wp:wrapNone/>
              <wp:docPr id="14301230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FE7D735" w14:textId="5C3803B0" w:rsidR="00A66BB8" w:rsidRPr="00A66BB8" w:rsidRDefault="00A66BB8" w:rsidP="00A66BB8">
                          <w:pPr>
                            <w:spacing w:after="0"/>
                            <w:rPr>
                              <w:rFonts w:ascii="Calibri" w:eastAsia="Calibri" w:hAnsi="Calibri" w:cs="Calibri"/>
                              <w:noProof/>
                              <w:color w:val="FF0000"/>
                              <w:sz w:val="24"/>
                            </w:rPr>
                          </w:pPr>
                          <w:r w:rsidRPr="00A66BB8">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FE7943"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5FE7D735" w14:textId="5C3803B0" w:rsidR="00A66BB8" w:rsidRPr="00A66BB8" w:rsidRDefault="00A66BB8" w:rsidP="00A66BB8">
                    <w:pPr>
                      <w:spacing w:after="0"/>
                      <w:rPr>
                        <w:rFonts w:ascii="Calibri" w:eastAsia="Calibri" w:hAnsi="Calibri" w:cs="Calibri"/>
                        <w:noProof/>
                        <w:color w:val="FF0000"/>
                        <w:sz w:val="24"/>
                      </w:rPr>
                    </w:pPr>
                    <w:r w:rsidRPr="00A66BB8">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2DCE" w14:textId="15054BAA" w:rsidR="00516E97" w:rsidRDefault="00A66BB8">
    <w:pPr>
      <w:pStyle w:val="Header"/>
    </w:pPr>
    <w:r>
      <w:rPr>
        <w:noProof/>
      </w:rPr>
      <mc:AlternateContent>
        <mc:Choice Requires="wps">
          <w:drawing>
            <wp:anchor distT="0" distB="0" distL="0" distR="0" simplePos="0" relativeHeight="251666432" behindDoc="0" locked="0" layoutInCell="1" allowOverlap="1" wp14:anchorId="07346E2F" wp14:editId="6C026EF6">
              <wp:simplePos x="635" y="635"/>
              <wp:positionH relativeFrom="page">
                <wp:align>center</wp:align>
              </wp:positionH>
              <wp:positionV relativeFrom="page">
                <wp:align>top</wp:align>
              </wp:positionV>
              <wp:extent cx="551815" cy="480695"/>
              <wp:effectExtent l="0" t="0" r="635" b="14605"/>
              <wp:wrapNone/>
              <wp:docPr id="106737031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1D09524" w14:textId="1E2D7104" w:rsidR="00A66BB8" w:rsidRPr="00A66BB8" w:rsidRDefault="00A66BB8" w:rsidP="00A66BB8">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346E2F"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51D09524" w14:textId="1E2D7104" w:rsidR="00A66BB8" w:rsidRPr="00A66BB8" w:rsidRDefault="00A66BB8" w:rsidP="00A66BB8">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2381195D" w:rsidR="00B53987" w:rsidRDefault="00A66BB8">
    <w:pPr>
      <w:pStyle w:val="Header"/>
    </w:pPr>
    <w:r>
      <w:rPr>
        <w:noProof/>
        <w:lang w:eastAsia="en-AU"/>
      </w:rPr>
      <mc:AlternateContent>
        <mc:Choice Requires="wps">
          <w:drawing>
            <wp:anchor distT="0" distB="0" distL="0" distR="0" simplePos="0" relativeHeight="251664384" behindDoc="0" locked="0" layoutInCell="1" allowOverlap="1" wp14:anchorId="2AB6CE37" wp14:editId="19701CB1">
              <wp:simplePos x="635" y="635"/>
              <wp:positionH relativeFrom="page">
                <wp:align>center</wp:align>
              </wp:positionH>
              <wp:positionV relativeFrom="page">
                <wp:align>top</wp:align>
              </wp:positionV>
              <wp:extent cx="551815" cy="480695"/>
              <wp:effectExtent l="0" t="0" r="635" b="14605"/>
              <wp:wrapNone/>
              <wp:docPr id="79224223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4E8E272" w14:textId="640B5D14" w:rsidR="00A66BB8" w:rsidRPr="00A66BB8" w:rsidRDefault="00A66BB8" w:rsidP="00A66BB8">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B6CE37"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44E8E272" w14:textId="640B5D14" w:rsidR="00A66BB8" w:rsidRPr="00A66BB8" w:rsidRDefault="00A66BB8" w:rsidP="00A66BB8">
                    <w:pPr>
                      <w:spacing w:after="0"/>
                      <w:rPr>
                        <w:rFonts w:ascii="Calibri" w:eastAsia="Calibri" w:hAnsi="Calibri" w:cs="Calibri"/>
                        <w:noProof/>
                        <w:color w:val="FF0000"/>
                        <w:sz w:val="24"/>
                      </w:rPr>
                    </w:pPr>
                  </w:p>
                </w:txbxContent>
              </v:textbox>
              <w10:wrap anchorx="page" anchory="page"/>
            </v:shape>
          </w:pict>
        </mc:Fallback>
      </mc:AlternateContent>
    </w:r>
    <w:r w:rsidR="00696A32">
      <w:rPr>
        <w:noProof/>
        <w:lang w:eastAsia="en-AU"/>
      </w:rPr>
      <w:drawing>
        <wp:inline distT="0" distB="0" distL="0" distR="0" wp14:anchorId="0B073610" wp14:editId="120C6DFA">
          <wp:extent cx="3343275" cy="533400"/>
          <wp:effectExtent l="0" t="0" r="9525" b="0"/>
          <wp:docPr id="1207914144" name="Picture 1"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283605"/>
    <w:multiLevelType w:val="hybridMultilevel"/>
    <w:tmpl w:val="12C0B2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3741B51"/>
    <w:multiLevelType w:val="multilevel"/>
    <w:tmpl w:val="6318E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9"/>
  </w:num>
  <w:num w:numId="3" w16cid:durableId="1161390217">
    <w:abstractNumId w:val="22"/>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7"/>
  </w:num>
  <w:num w:numId="8" w16cid:durableId="565603559">
    <w:abstractNumId w:val="21"/>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3"/>
  </w:num>
  <w:num w:numId="17" w16cid:durableId="2113471318">
    <w:abstractNumId w:val="11"/>
  </w:num>
  <w:num w:numId="18" w16cid:durableId="828592903">
    <w:abstractNumId w:val="13"/>
  </w:num>
  <w:num w:numId="19" w16cid:durableId="1273391997">
    <w:abstractNumId w:val="16"/>
  </w:num>
  <w:num w:numId="20" w16cid:durableId="2041469188">
    <w:abstractNumId w:val="11"/>
  </w:num>
  <w:num w:numId="21" w16cid:durableId="120997448">
    <w:abstractNumId w:val="16"/>
  </w:num>
  <w:num w:numId="22" w16cid:durableId="1088427743">
    <w:abstractNumId w:val="23"/>
  </w:num>
  <w:num w:numId="23" w16cid:durableId="111368400">
    <w:abstractNumId w:val="19"/>
  </w:num>
  <w:num w:numId="24" w16cid:durableId="815339056">
    <w:abstractNumId w:val="22"/>
  </w:num>
  <w:num w:numId="25" w16cid:durableId="743180995">
    <w:abstractNumId w:val="8"/>
  </w:num>
  <w:num w:numId="26" w16cid:durableId="320358050">
    <w:abstractNumId w:val="18"/>
  </w:num>
  <w:num w:numId="27" w16cid:durableId="508569404">
    <w:abstractNumId w:val="12"/>
  </w:num>
  <w:num w:numId="28" w16cid:durableId="1416364898">
    <w:abstractNumId w:val="15"/>
  </w:num>
  <w:num w:numId="29" w16cid:durableId="100344043">
    <w:abstractNumId w:val="10"/>
  </w:num>
  <w:num w:numId="30" w16cid:durableId="1575821124">
    <w:abstractNumId w:val="12"/>
  </w:num>
  <w:num w:numId="31" w16cid:durableId="461385314">
    <w:abstractNumId w:val="14"/>
  </w:num>
  <w:num w:numId="32" w16cid:durableId="15656006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058D"/>
    <w:rsid w:val="000117F8"/>
    <w:rsid w:val="0001460F"/>
    <w:rsid w:val="00017AFC"/>
    <w:rsid w:val="00022629"/>
    <w:rsid w:val="00024DFE"/>
    <w:rsid w:val="00026139"/>
    <w:rsid w:val="00027601"/>
    <w:rsid w:val="00027621"/>
    <w:rsid w:val="00033321"/>
    <w:rsid w:val="000338E5"/>
    <w:rsid w:val="00033ECC"/>
    <w:rsid w:val="0003422F"/>
    <w:rsid w:val="00046FF0"/>
    <w:rsid w:val="00050176"/>
    <w:rsid w:val="00050342"/>
    <w:rsid w:val="00056A81"/>
    <w:rsid w:val="00064168"/>
    <w:rsid w:val="00067456"/>
    <w:rsid w:val="00071506"/>
    <w:rsid w:val="0007154F"/>
    <w:rsid w:val="00080BAC"/>
    <w:rsid w:val="00081AB1"/>
    <w:rsid w:val="00085A3A"/>
    <w:rsid w:val="00090316"/>
    <w:rsid w:val="0009214D"/>
    <w:rsid w:val="00093981"/>
    <w:rsid w:val="000B067A"/>
    <w:rsid w:val="000B1540"/>
    <w:rsid w:val="000B1E53"/>
    <w:rsid w:val="000B2849"/>
    <w:rsid w:val="000B33FD"/>
    <w:rsid w:val="000B4ABA"/>
    <w:rsid w:val="000B6427"/>
    <w:rsid w:val="000B7029"/>
    <w:rsid w:val="000C0475"/>
    <w:rsid w:val="000C4B16"/>
    <w:rsid w:val="000C50C3"/>
    <w:rsid w:val="000C5E14"/>
    <w:rsid w:val="000D09A7"/>
    <w:rsid w:val="000D21F6"/>
    <w:rsid w:val="000D3EEC"/>
    <w:rsid w:val="000D4500"/>
    <w:rsid w:val="000D7AEA"/>
    <w:rsid w:val="000E2C66"/>
    <w:rsid w:val="000E4098"/>
    <w:rsid w:val="000F123C"/>
    <w:rsid w:val="000F2FED"/>
    <w:rsid w:val="0010616D"/>
    <w:rsid w:val="00110478"/>
    <w:rsid w:val="00111901"/>
    <w:rsid w:val="0011711B"/>
    <w:rsid w:val="00117F8A"/>
    <w:rsid w:val="001210F8"/>
    <w:rsid w:val="00121B9B"/>
    <w:rsid w:val="00122ADC"/>
    <w:rsid w:val="001245EF"/>
    <w:rsid w:val="00130651"/>
    <w:rsid w:val="00130F59"/>
    <w:rsid w:val="00133EC0"/>
    <w:rsid w:val="00141CE5"/>
    <w:rsid w:val="001427CD"/>
    <w:rsid w:val="00144908"/>
    <w:rsid w:val="00146B7A"/>
    <w:rsid w:val="00156D96"/>
    <w:rsid w:val="001571C7"/>
    <w:rsid w:val="00161094"/>
    <w:rsid w:val="00171AF5"/>
    <w:rsid w:val="0017665C"/>
    <w:rsid w:val="0017709E"/>
    <w:rsid w:val="00177AD2"/>
    <w:rsid w:val="001815A8"/>
    <w:rsid w:val="001840FA"/>
    <w:rsid w:val="001873B1"/>
    <w:rsid w:val="00190079"/>
    <w:rsid w:val="001932AA"/>
    <w:rsid w:val="0019622E"/>
    <w:rsid w:val="001966A7"/>
    <w:rsid w:val="0019761F"/>
    <w:rsid w:val="001A1412"/>
    <w:rsid w:val="001A2646"/>
    <w:rsid w:val="001A4627"/>
    <w:rsid w:val="001A4979"/>
    <w:rsid w:val="001B0ADC"/>
    <w:rsid w:val="001B15D3"/>
    <w:rsid w:val="001B3443"/>
    <w:rsid w:val="001B5D2E"/>
    <w:rsid w:val="001C0326"/>
    <w:rsid w:val="001C090E"/>
    <w:rsid w:val="001C192F"/>
    <w:rsid w:val="001C3C42"/>
    <w:rsid w:val="001C72E0"/>
    <w:rsid w:val="001D7869"/>
    <w:rsid w:val="001E53D0"/>
    <w:rsid w:val="001F38B4"/>
    <w:rsid w:val="001F3920"/>
    <w:rsid w:val="001F76C6"/>
    <w:rsid w:val="002026CD"/>
    <w:rsid w:val="002033FC"/>
    <w:rsid w:val="002044BB"/>
    <w:rsid w:val="00210B09"/>
    <w:rsid w:val="00210C9E"/>
    <w:rsid w:val="00211840"/>
    <w:rsid w:val="00220E5F"/>
    <w:rsid w:val="002212B5"/>
    <w:rsid w:val="00226668"/>
    <w:rsid w:val="002333A0"/>
    <w:rsid w:val="00233809"/>
    <w:rsid w:val="00237A42"/>
    <w:rsid w:val="00240046"/>
    <w:rsid w:val="00242D68"/>
    <w:rsid w:val="0024650C"/>
    <w:rsid w:val="0024797F"/>
    <w:rsid w:val="0025119E"/>
    <w:rsid w:val="00251269"/>
    <w:rsid w:val="002535C0"/>
    <w:rsid w:val="00256626"/>
    <w:rsid w:val="002579FE"/>
    <w:rsid w:val="00260552"/>
    <w:rsid w:val="00262FA7"/>
    <w:rsid w:val="0026311C"/>
    <w:rsid w:val="00264239"/>
    <w:rsid w:val="0026668C"/>
    <w:rsid w:val="00266AC1"/>
    <w:rsid w:val="0027178C"/>
    <w:rsid w:val="00271954"/>
    <w:rsid w:val="002719FA"/>
    <w:rsid w:val="00272668"/>
    <w:rsid w:val="0027330B"/>
    <w:rsid w:val="00276CB4"/>
    <w:rsid w:val="00280248"/>
    <w:rsid w:val="002803AD"/>
    <w:rsid w:val="00282052"/>
    <w:rsid w:val="00282EAC"/>
    <w:rsid w:val="002831A3"/>
    <w:rsid w:val="0028519E"/>
    <w:rsid w:val="002856A5"/>
    <w:rsid w:val="002872ED"/>
    <w:rsid w:val="002905C2"/>
    <w:rsid w:val="00292535"/>
    <w:rsid w:val="00295AF2"/>
    <w:rsid w:val="00295C91"/>
    <w:rsid w:val="00297151"/>
    <w:rsid w:val="002A61BB"/>
    <w:rsid w:val="002B20E6"/>
    <w:rsid w:val="002B42A3"/>
    <w:rsid w:val="002C0CDD"/>
    <w:rsid w:val="002C38C4"/>
    <w:rsid w:val="002C46AA"/>
    <w:rsid w:val="002D65A2"/>
    <w:rsid w:val="002E1A1D"/>
    <w:rsid w:val="002E3448"/>
    <w:rsid w:val="002E3934"/>
    <w:rsid w:val="002E4081"/>
    <w:rsid w:val="002E53F4"/>
    <w:rsid w:val="002E5B78"/>
    <w:rsid w:val="002F3AE3"/>
    <w:rsid w:val="002F466C"/>
    <w:rsid w:val="0030464B"/>
    <w:rsid w:val="0030786C"/>
    <w:rsid w:val="0031694D"/>
    <w:rsid w:val="00317B29"/>
    <w:rsid w:val="003233DE"/>
    <w:rsid w:val="0032466B"/>
    <w:rsid w:val="0033268D"/>
    <w:rsid w:val="003330EB"/>
    <w:rsid w:val="00333C73"/>
    <w:rsid w:val="003415FD"/>
    <w:rsid w:val="003429F0"/>
    <w:rsid w:val="00345A82"/>
    <w:rsid w:val="0035097A"/>
    <w:rsid w:val="00353C8E"/>
    <w:rsid w:val="003540A4"/>
    <w:rsid w:val="00357BCC"/>
    <w:rsid w:val="00360E4E"/>
    <w:rsid w:val="00370AAA"/>
    <w:rsid w:val="003738B4"/>
    <w:rsid w:val="0037507B"/>
    <w:rsid w:val="00375F77"/>
    <w:rsid w:val="00381BBE"/>
    <w:rsid w:val="00382903"/>
    <w:rsid w:val="003832F8"/>
    <w:rsid w:val="003846FF"/>
    <w:rsid w:val="003857D4"/>
    <w:rsid w:val="00385AD4"/>
    <w:rsid w:val="00385C01"/>
    <w:rsid w:val="00387924"/>
    <w:rsid w:val="0039275D"/>
    <w:rsid w:val="0039384D"/>
    <w:rsid w:val="00395C23"/>
    <w:rsid w:val="003A2E4F"/>
    <w:rsid w:val="003A4438"/>
    <w:rsid w:val="003A5013"/>
    <w:rsid w:val="003A5078"/>
    <w:rsid w:val="003A62DD"/>
    <w:rsid w:val="003A775A"/>
    <w:rsid w:val="003B213A"/>
    <w:rsid w:val="003B2E5D"/>
    <w:rsid w:val="003B43AD"/>
    <w:rsid w:val="003C0FEC"/>
    <w:rsid w:val="003C2AC8"/>
    <w:rsid w:val="003D033A"/>
    <w:rsid w:val="003D17F9"/>
    <w:rsid w:val="003D2D88"/>
    <w:rsid w:val="003D419D"/>
    <w:rsid w:val="003D41EA"/>
    <w:rsid w:val="003D4850"/>
    <w:rsid w:val="003D513F"/>
    <w:rsid w:val="003D535A"/>
    <w:rsid w:val="003D7B09"/>
    <w:rsid w:val="003E5265"/>
    <w:rsid w:val="003F08F4"/>
    <w:rsid w:val="003F0955"/>
    <w:rsid w:val="003F0F91"/>
    <w:rsid w:val="003F5F4D"/>
    <w:rsid w:val="003F646F"/>
    <w:rsid w:val="00400F00"/>
    <w:rsid w:val="00404F8B"/>
    <w:rsid w:val="0040504C"/>
    <w:rsid w:val="00405256"/>
    <w:rsid w:val="00405ADD"/>
    <w:rsid w:val="00410031"/>
    <w:rsid w:val="00415C81"/>
    <w:rsid w:val="00422112"/>
    <w:rsid w:val="00432378"/>
    <w:rsid w:val="00440D65"/>
    <w:rsid w:val="00442EFF"/>
    <w:rsid w:val="004435E6"/>
    <w:rsid w:val="00447E31"/>
    <w:rsid w:val="00453923"/>
    <w:rsid w:val="00454B9B"/>
    <w:rsid w:val="00457858"/>
    <w:rsid w:val="00460B0B"/>
    <w:rsid w:val="00461023"/>
    <w:rsid w:val="00462FAC"/>
    <w:rsid w:val="00464631"/>
    <w:rsid w:val="00464B79"/>
    <w:rsid w:val="0046644F"/>
    <w:rsid w:val="00467BBF"/>
    <w:rsid w:val="0048593C"/>
    <w:rsid w:val="004867E2"/>
    <w:rsid w:val="00490FFF"/>
    <w:rsid w:val="004929A9"/>
    <w:rsid w:val="004A78D9"/>
    <w:rsid w:val="004C1BCD"/>
    <w:rsid w:val="004C44A1"/>
    <w:rsid w:val="004C6BCF"/>
    <w:rsid w:val="004D58BF"/>
    <w:rsid w:val="004D5E3F"/>
    <w:rsid w:val="004E293A"/>
    <w:rsid w:val="004E4335"/>
    <w:rsid w:val="004E5226"/>
    <w:rsid w:val="004F13EE"/>
    <w:rsid w:val="004F1F70"/>
    <w:rsid w:val="004F2022"/>
    <w:rsid w:val="004F7C05"/>
    <w:rsid w:val="00501C94"/>
    <w:rsid w:val="00506432"/>
    <w:rsid w:val="00506E82"/>
    <w:rsid w:val="0051681E"/>
    <w:rsid w:val="00516E97"/>
    <w:rsid w:val="0052051D"/>
    <w:rsid w:val="00525479"/>
    <w:rsid w:val="0054323D"/>
    <w:rsid w:val="00545EE6"/>
    <w:rsid w:val="005550E7"/>
    <w:rsid w:val="005564FB"/>
    <w:rsid w:val="0055706A"/>
    <w:rsid w:val="005572C7"/>
    <w:rsid w:val="00564721"/>
    <w:rsid w:val="005650ED"/>
    <w:rsid w:val="00566B81"/>
    <w:rsid w:val="00575754"/>
    <w:rsid w:val="00581FBA"/>
    <w:rsid w:val="005858A4"/>
    <w:rsid w:val="00591E20"/>
    <w:rsid w:val="005920E7"/>
    <w:rsid w:val="00595408"/>
    <w:rsid w:val="00595E84"/>
    <w:rsid w:val="005A0C59"/>
    <w:rsid w:val="005A48EB"/>
    <w:rsid w:val="005A5A41"/>
    <w:rsid w:val="005A6CFB"/>
    <w:rsid w:val="005B4F71"/>
    <w:rsid w:val="005C4B3E"/>
    <w:rsid w:val="005C5AEB"/>
    <w:rsid w:val="005D1857"/>
    <w:rsid w:val="005D1E2F"/>
    <w:rsid w:val="005D5342"/>
    <w:rsid w:val="005D5F4E"/>
    <w:rsid w:val="005E05FD"/>
    <w:rsid w:val="005E0A3F"/>
    <w:rsid w:val="005E1AF9"/>
    <w:rsid w:val="005E2D76"/>
    <w:rsid w:val="005E5501"/>
    <w:rsid w:val="005E659D"/>
    <w:rsid w:val="005E6883"/>
    <w:rsid w:val="005E772F"/>
    <w:rsid w:val="005F4ECA"/>
    <w:rsid w:val="006041BE"/>
    <w:rsid w:val="006043C7"/>
    <w:rsid w:val="00606BFA"/>
    <w:rsid w:val="00624B52"/>
    <w:rsid w:val="00625439"/>
    <w:rsid w:val="006259A0"/>
    <w:rsid w:val="00630794"/>
    <w:rsid w:val="00631DF4"/>
    <w:rsid w:val="006340D5"/>
    <w:rsid w:val="00634175"/>
    <w:rsid w:val="0063574E"/>
    <w:rsid w:val="006408AC"/>
    <w:rsid w:val="00642F20"/>
    <w:rsid w:val="006511B6"/>
    <w:rsid w:val="006528E6"/>
    <w:rsid w:val="00657FF8"/>
    <w:rsid w:val="0066598A"/>
    <w:rsid w:val="00670D99"/>
    <w:rsid w:val="00670E2B"/>
    <w:rsid w:val="006734BB"/>
    <w:rsid w:val="0067697A"/>
    <w:rsid w:val="006821EB"/>
    <w:rsid w:val="00693151"/>
    <w:rsid w:val="00693A51"/>
    <w:rsid w:val="00696A32"/>
    <w:rsid w:val="006B2286"/>
    <w:rsid w:val="006B56BB"/>
    <w:rsid w:val="006B5E6C"/>
    <w:rsid w:val="006C085B"/>
    <w:rsid w:val="006C0AE2"/>
    <w:rsid w:val="006C2786"/>
    <w:rsid w:val="006C77A8"/>
    <w:rsid w:val="006D22A7"/>
    <w:rsid w:val="006D4098"/>
    <w:rsid w:val="006D5E66"/>
    <w:rsid w:val="006D67F4"/>
    <w:rsid w:val="006D7681"/>
    <w:rsid w:val="006D7B2E"/>
    <w:rsid w:val="006E02EA"/>
    <w:rsid w:val="006E0968"/>
    <w:rsid w:val="006E2AF6"/>
    <w:rsid w:val="006E3265"/>
    <w:rsid w:val="006F1107"/>
    <w:rsid w:val="006F4BEE"/>
    <w:rsid w:val="006F5073"/>
    <w:rsid w:val="006F7127"/>
    <w:rsid w:val="00701275"/>
    <w:rsid w:val="00707F56"/>
    <w:rsid w:val="00713558"/>
    <w:rsid w:val="00720D08"/>
    <w:rsid w:val="007263B9"/>
    <w:rsid w:val="00726D54"/>
    <w:rsid w:val="007271EA"/>
    <w:rsid w:val="007334F8"/>
    <w:rsid w:val="007339CD"/>
    <w:rsid w:val="007359D8"/>
    <w:rsid w:val="007362D4"/>
    <w:rsid w:val="007401C3"/>
    <w:rsid w:val="00741AC2"/>
    <w:rsid w:val="00744B30"/>
    <w:rsid w:val="00746C16"/>
    <w:rsid w:val="0076672A"/>
    <w:rsid w:val="00775E45"/>
    <w:rsid w:val="00776597"/>
    <w:rsid w:val="00776E74"/>
    <w:rsid w:val="00785169"/>
    <w:rsid w:val="007954AB"/>
    <w:rsid w:val="007A14C5"/>
    <w:rsid w:val="007A4A10"/>
    <w:rsid w:val="007B1750"/>
    <w:rsid w:val="007B1760"/>
    <w:rsid w:val="007B2971"/>
    <w:rsid w:val="007C1FDC"/>
    <w:rsid w:val="007C31DD"/>
    <w:rsid w:val="007C32D9"/>
    <w:rsid w:val="007C343D"/>
    <w:rsid w:val="007C6D9C"/>
    <w:rsid w:val="007C7DDB"/>
    <w:rsid w:val="007D0F6F"/>
    <w:rsid w:val="007D241F"/>
    <w:rsid w:val="007D2CC7"/>
    <w:rsid w:val="007D673D"/>
    <w:rsid w:val="007D6CBA"/>
    <w:rsid w:val="007E0068"/>
    <w:rsid w:val="007E0FB8"/>
    <w:rsid w:val="007E4D09"/>
    <w:rsid w:val="007F2220"/>
    <w:rsid w:val="007F32B4"/>
    <w:rsid w:val="007F4B3E"/>
    <w:rsid w:val="0080043A"/>
    <w:rsid w:val="008127AF"/>
    <w:rsid w:val="00812B46"/>
    <w:rsid w:val="00814834"/>
    <w:rsid w:val="00815700"/>
    <w:rsid w:val="00821974"/>
    <w:rsid w:val="0082246B"/>
    <w:rsid w:val="008264EB"/>
    <w:rsid w:val="00826B8F"/>
    <w:rsid w:val="00830F97"/>
    <w:rsid w:val="00831E8A"/>
    <w:rsid w:val="0083595B"/>
    <w:rsid w:val="00835C76"/>
    <w:rsid w:val="008376E2"/>
    <w:rsid w:val="00843049"/>
    <w:rsid w:val="008437CA"/>
    <w:rsid w:val="0085209B"/>
    <w:rsid w:val="00853D8F"/>
    <w:rsid w:val="00856B66"/>
    <w:rsid w:val="008601AC"/>
    <w:rsid w:val="00861A5F"/>
    <w:rsid w:val="008644AD"/>
    <w:rsid w:val="00865735"/>
    <w:rsid w:val="00865DDB"/>
    <w:rsid w:val="00867538"/>
    <w:rsid w:val="008704EF"/>
    <w:rsid w:val="00873D90"/>
    <w:rsid w:val="00873FC8"/>
    <w:rsid w:val="00884C63"/>
    <w:rsid w:val="00885908"/>
    <w:rsid w:val="008864B7"/>
    <w:rsid w:val="0089677E"/>
    <w:rsid w:val="008A7438"/>
    <w:rsid w:val="008B1334"/>
    <w:rsid w:val="008B25C7"/>
    <w:rsid w:val="008B6040"/>
    <w:rsid w:val="008B7FF0"/>
    <w:rsid w:val="008C0278"/>
    <w:rsid w:val="008C24E9"/>
    <w:rsid w:val="008D0533"/>
    <w:rsid w:val="008D42CB"/>
    <w:rsid w:val="008D48C9"/>
    <w:rsid w:val="008D6381"/>
    <w:rsid w:val="008E007D"/>
    <w:rsid w:val="008E0C77"/>
    <w:rsid w:val="008E5110"/>
    <w:rsid w:val="008E625F"/>
    <w:rsid w:val="008F264D"/>
    <w:rsid w:val="009040E9"/>
    <w:rsid w:val="009074E1"/>
    <w:rsid w:val="009112F7"/>
    <w:rsid w:val="009122AF"/>
    <w:rsid w:val="00912D54"/>
    <w:rsid w:val="0091389F"/>
    <w:rsid w:val="009208F7"/>
    <w:rsid w:val="00920EB4"/>
    <w:rsid w:val="00921649"/>
    <w:rsid w:val="00922517"/>
    <w:rsid w:val="00922722"/>
    <w:rsid w:val="009261E6"/>
    <w:rsid w:val="009268E1"/>
    <w:rsid w:val="009271EE"/>
    <w:rsid w:val="0093226A"/>
    <w:rsid w:val="009344AE"/>
    <w:rsid w:val="009344DE"/>
    <w:rsid w:val="00945E7F"/>
    <w:rsid w:val="00946A7B"/>
    <w:rsid w:val="00950DBF"/>
    <w:rsid w:val="009518C7"/>
    <w:rsid w:val="009557C1"/>
    <w:rsid w:val="00960D6E"/>
    <w:rsid w:val="0097221A"/>
    <w:rsid w:val="00974B59"/>
    <w:rsid w:val="0098166B"/>
    <w:rsid w:val="0098340B"/>
    <w:rsid w:val="00985042"/>
    <w:rsid w:val="00986830"/>
    <w:rsid w:val="009924C3"/>
    <w:rsid w:val="00993102"/>
    <w:rsid w:val="009959C7"/>
    <w:rsid w:val="009973F7"/>
    <w:rsid w:val="00997578"/>
    <w:rsid w:val="009A400C"/>
    <w:rsid w:val="009B05A7"/>
    <w:rsid w:val="009B1570"/>
    <w:rsid w:val="009C6F10"/>
    <w:rsid w:val="009D0158"/>
    <w:rsid w:val="009D148F"/>
    <w:rsid w:val="009D3D70"/>
    <w:rsid w:val="009E6F7E"/>
    <w:rsid w:val="009E7A57"/>
    <w:rsid w:val="009F4803"/>
    <w:rsid w:val="009F4F6A"/>
    <w:rsid w:val="009F5046"/>
    <w:rsid w:val="00A13EB5"/>
    <w:rsid w:val="00A16E36"/>
    <w:rsid w:val="00A23012"/>
    <w:rsid w:val="00A24961"/>
    <w:rsid w:val="00A24B10"/>
    <w:rsid w:val="00A277EF"/>
    <w:rsid w:val="00A2792C"/>
    <w:rsid w:val="00A30E9B"/>
    <w:rsid w:val="00A34BD0"/>
    <w:rsid w:val="00A41715"/>
    <w:rsid w:val="00A4512D"/>
    <w:rsid w:val="00A50244"/>
    <w:rsid w:val="00A61F46"/>
    <w:rsid w:val="00A627D7"/>
    <w:rsid w:val="00A656C7"/>
    <w:rsid w:val="00A66BB8"/>
    <w:rsid w:val="00A677F2"/>
    <w:rsid w:val="00A705AF"/>
    <w:rsid w:val="00A719F6"/>
    <w:rsid w:val="00A72454"/>
    <w:rsid w:val="00A75342"/>
    <w:rsid w:val="00A77696"/>
    <w:rsid w:val="00A80557"/>
    <w:rsid w:val="00A81D33"/>
    <w:rsid w:val="00A8341C"/>
    <w:rsid w:val="00A8695F"/>
    <w:rsid w:val="00A930AE"/>
    <w:rsid w:val="00AA1A95"/>
    <w:rsid w:val="00AA260F"/>
    <w:rsid w:val="00AB0705"/>
    <w:rsid w:val="00AB1EE7"/>
    <w:rsid w:val="00AB2B2E"/>
    <w:rsid w:val="00AB3FDE"/>
    <w:rsid w:val="00AB4B37"/>
    <w:rsid w:val="00AB5762"/>
    <w:rsid w:val="00AB6E17"/>
    <w:rsid w:val="00AB708F"/>
    <w:rsid w:val="00AC2679"/>
    <w:rsid w:val="00AC4432"/>
    <w:rsid w:val="00AC4BE4"/>
    <w:rsid w:val="00AC6513"/>
    <w:rsid w:val="00AD05E6"/>
    <w:rsid w:val="00AD0D3F"/>
    <w:rsid w:val="00AD2171"/>
    <w:rsid w:val="00AE1D7D"/>
    <w:rsid w:val="00AE2A8B"/>
    <w:rsid w:val="00AE3F64"/>
    <w:rsid w:val="00AF7386"/>
    <w:rsid w:val="00AF7934"/>
    <w:rsid w:val="00B00B81"/>
    <w:rsid w:val="00B04580"/>
    <w:rsid w:val="00B04B09"/>
    <w:rsid w:val="00B16A51"/>
    <w:rsid w:val="00B27A99"/>
    <w:rsid w:val="00B32222"/>
    <w:rsid w:val="00B32567"/>
    <w:rsid w:val="00B3618D"/>
    <w:rsid w:val="00B36233"/>
    <w:rsid w:val="00B42851"/>
    <w:rsid w:val="00B42D06"/>
    <w:rsid w:val="00B45350"/>
    <w:rsid w:val="00B45AC7"/>
    <w:rsid w:val="00B51147"/>
    <w:rsid w:val="00B5372F"/>
    <w:rsid w:val="00B53987"/>
    <w:rsid w:val="00B61129"/>
    <w:rsid w:val="00B67E7F"/>
    <w:rsid w:val="00B73D00"/>
    <w:rsid w:val="00B76DB3"/>
    <w:rsid w:val="00B839B2"/>
    <w:rsid w:val="00B873A0"/>
    <w:rsid w:val="00B94252"/>
    <w:rsid w:val="00B9715A"/>
    <w:rsid w:val="00BA14BE"/>
    <w:rsid w:val="00BA25D5"/>
    <w:rsid w:val="00BA2732"/>
    <w:rsid w:val="00BA293D"/>
    <w:rsid w:val="00BA4844"/>
    <w:rsid w:val="00BA49BC"/>
    <w:rsid w:val="00BA56B7"/>
    <w:rsid w:val="00BA7A1E"/>
    <w:rsid w:val="00BB2F6C"/>
    <w:rsid w:val="00BB3875"/>
    <w:rsid w:val="00BB5860"/>
    <w:rsid w:val="00BB6AAD"/>
    <w:rsid w:val="00BC4A19"/>
    <w:rsid w:val="00BC4E6D"/>
    <w:rsid w:val="00BD0617"/>
    <w:rsid w:val="00BD0A9E"/>
    <w:rsid w:val="00BD1D77"/>
    <w:rsid w:val="00BD2E9B"/>
    <w:rsid w:val="00BD50C6"/>
    <w:rsid w:val="00BD7FB2"/>
    <w:rsid w:val="00BE24CA"/>
    <w:rsid w:val="00BE3ED5"/>
    <w:rsid w:val="00BE42C7"/>
    <w:rsid w:val="00BE5E9B"/>
    <w:rsid w:val="00BF6BB3"/>
    <w:rsid w:val="00C00930"/>
    <w:rsid w:val="00C013EF"/>
    <w:rsid w:val="00C02732"/>
    <w:rsid w:val="00C060AD"/>
    <w:rsid w:val="00C113BF"/>
    <w:rsid w:val="00C1281F"/>
    <w:rsid w:val="00C2176E"/>
    <w:rsid w:val="00C23430"/>
    <w:rsid w:val="00C27D67"/>
    <w:rsid w:val="00C40A0E"/>
    <w:rsid w:val="00C435AF"/>
    <w:rsid w:val="00C4631F"/>
    <w:rsid w:val="00C47CDE"/>
    <w:rsid w:val="00C50E16"/>
    <w:rsid w:val="00C55258"/>
    <w:rsid w:val="00C55AEB"/>
    <w:rsid w:val="00C62C9D"/>
    <w:rsid w:val="00C663EE"/>
    <w:rsid w:val="00C702EB"/>
    <w:rsid w:val="00C71A8A"/>
    <w:rsid w:val="00C75FA3"/>
    <w:rsid w:val="00C82EEB"/>
    <w:rsid w:val="00C971DC"/>
    <w:rsid w:val="00CA16B7"/>
    <w:rsid w:val="00CA3960"/>
    <w:rsid w:val="00CA62AE"/>
    <w:rsid w:val="00CA681F"/>
    <w:rsid w:val="00CA728C"/>
    <w:rsid w:val="00CB03B8"/>
    <w:rsid w:val="00CB49DD"/>
    <w:rsid w:val="00CB5B1A"/>
    <w:rsid w:val="00CC0A75"/>
    <w:rsid w:val="00CC0CD6"/>
    <w:rsid w:val="00CC220B"/>
    <w:rsid w:val="00CC5C43"/>
    <w:rsid w:val="00CD02AE"/>
    <w:rsid w:val="00CD21E2"/>
    <w:rsid w:val="00CD2A4F"/>
    <w:rsid w:val="00CD41E4"/>
    <w:rsid w:val="00CD642F"/>
    <w:rsid w:val="00CE03CA"/>
    <w:rsid w:val="00CE22F1"/>
    <w:rsid w:val="00CE50F2"/>
    <w:rsid w:val="00CE6502"/>
    <w:rsid w:val="00CF1633"/>
    <w:rsid w:val="00CF6942"/>
    <w:rsid w:val="00CF7D3C"/>
    <w:rsid w:val="00D01F09"/>
    <w:rsid w:val="00D02D7F"/>
    <w:rsid w:val="00D03527"/>
    <w:rsid w:val="00D06F2D"/>
    <w:rsid w:val="00D147EB"/>
    <w:rsid w:val="00D20254"/>
    <w:rsid w:val="00D27E71"/>
    <w:rsid w:val="00D34667"/>
    <w:rsid w:val="00D401E1"/>
    <w:rsid w:val="00D408B4"/>
    <w:rsid w:val="00D44330"/>
    <w:rsid w:val="00D524C8"/>
    <w:rsid w:val="00D60CEE"/>
    <w:rsid w:val="00D70E24"/>
    <w:rsid w:val="00D72B61"/>
    <w:rsid w:val="00D778DC"/>
    <w:rsid w:val="00D82F6D"/>
    <w:rsid w:val="00DA3D1D"/>
    <w:rsid w:val="00DA5261"/>
    <w:rsid w:val="00DB214A"/>
    <w:rsid w:val="00DB6286"/>
    <w:rsid w:val="00DB645F"/>
    <w:rsid w:val="00DB76E9"/>
    <w:rsid w:val="00DC0A67"/>
    <w:rsid w:val="00DC1D5E"/>
    <w:rsid w:val="00DC2498"/>
    <w:rsid w:val="00DC512C"/>
    <w:rsid w:val="00DC5220"/>
    <w:rsid w:val="00DD2061"/>
    <w:rsid w:val="00DD31B6"/>
    <w:rsid w:val="00DD7DAB"/>
    <w:rsid w:val="00DE3355"/>
    <w:rsid w:val="00DF0C60"/>
    <w:rsid w:val="00DF486F"/>
    <w:rsid w:val="00DF5B5B"/>
    <w:rsid w:val="00DF7619"/>
    <w:rsid w:val="00E010E4"/>
    <w:rsid w:val="00E042D8"/>
    <w:rsid w:val="00E07EE7"/>
    <w:rsid w:val="00E10CC3"/>
    <w:rsid w:val="00E1103B"/>
    <w:rsid w:val="00E17B44"/>
    <w:rsid w:val="00E17B48"/>
    <w:rsid w:val="00E20F27"/>
    <w:rsid w:val="00E22443"/>
    <w:rsid w:val="00E25B1F"/>
    <w:rsid w:val="00E27FEA"/>
    <w:rsid w:val="00E33511"/>
    <w:rsid w:val="00E35B07"/>
    <w:rsid w:val="00E37C62"/>
    <w:rsid w:val="00E4086F"/>
    <w:rsid w:val="00E416BD"/>
    <w:rsid w:val="00E43B3C"/>
    <w:rsid w:val="00E50188"/>
    <w:rsid w:val="00E50BB3"/>
    <w:rsid w:val="00E515CB"/>
    <w:rsid w:val="00E52260"/>
    <w:rsid w:val="00E538AE"/>
    <w:rsid w:val="00E639B6"/>
    <w:rsid w:val="00E6434B"/>
    <w:rsid w:val="00E6463D"/>
    <w:rsid w:val="00E65F67"/>
    <w:rsid w:val="00E71492"/>
    <w:rsid w:val="00E72E9B"/>
    <w:rsid w:val="00E850C3"/>
    <w:rsid w:val="00E87DF2"/>
    <w:rsid w:val="00E90371"/>
    <w:rsid w:val="00E91536"/>
    <w:rsid w:val="00E91576"/>
    <w:rsid w:val="00E9462E"/>
    <w:rsid w:val="00EA346E"/>
    <w:rsid w:val="00EA470E"/>
    <w:rsid w:val="00EA47A7"/>
    <w:rsid w:val="00EA57EB"/>
    <w:rsid w:val="00EB3226"/>
    <w:rsid w:val="00EC1BB1"/>
    <w:rsid w:val="00EC213A"/>
    <w:rsid w:val="00EC6B55"/>
    <w:rsid w:val="00EC7744"/>
    <w:rsid w:val="00ED0DAD"/>
    <w:rsid w:val="00ED0F46"/>
    <w:rsid w:val="00ED2373"/>
    <w:rsid w:val="00ED24F9"/>
    <w:rsid w:val="00ED2E38"/>
    <w:rsid w:val="00EE3E8A"/>
    <w:rsid w:val="00EF58B8"/>
    <w:rsid w:val="00EF6ECA"/>
    <w:rsid w:val="00F01605"/>
    <w:rsid w:val="00F024E1"/>
    <w:rsid w:val="00F06C10"/>
    <w:rsid w:val="00F1096F"/>
    <w:rsid w:val="00F12589"/>
    <w:rsid w:val="00F12595"/>
    <w:rsid w:val="00F134D9"/>
    <w:rsid w:val="00F1403D"/>
    <w:rsid w:val="00F1463F"/>
    <w:rsid w:val="00F14EA0"/>
    <w:rsid w:val="00F21302"/>
    <w:rsid w:val="00F2430D"/>
    <w:rsid w:val="00F321DE"/>
    <w:rsid w:val="00F33777"/>
    <w:rsid w:val="00F40648"/>
    <w:rsid w:val="00F47DA2"/>
    <w:rsid w:val="00F51321"/>
    <w:rsid w:val="00F519FC"/>
    <w:rsid w:val="00F6239D"/>
    <w:rsid w:val="00F715D2"/>
    <w:rsid w:val="00F7274F"/>
    <w:rsid w:val="00F74E84"/>
    <w:rsid w:val="00F7615B"/>
    <w:rsid w:val="00F76ED3"/>
    <w:rsid w:val="00F76FA8"/>
    <w:rsid w:val="00F83E68"/>
    <w:rsid w:val="00F85AFE"/>
    <w:rsid w:val="00F93F08"/>
    <w:rsid w:val="00F94CED"/>
    <w:rsid w:val="00FA02BB"/>
    <w:rsid w:val="00FA2CEE"/>
    <w:rsid w:val="00FA318C"/>
    <w:rsid w:val="00FB3661"/>
    <w:rsid w:val="00FB6452"/>
    <w:rsid w:val="00FB6F92"/>
    <w:rsid w:val="00FC026E"/>
    <w:rsid w:val="00FC5124"/>
    <w:rsid w:val="00FD0155"/>
    <w:rsid w:val="00FD4731"/>
    <w:rsid w:val="00FD5A44"/>
    <w:rsid w:val="00FD6768"/>
    <w:rsid w:val="00FE71EB"/>
    <w:rsid w:val="00FF0AB0"/>
    <w:rsid w:val="00FF0EAC"/>
    <w:rsid w:val="00FF28AC"/>
    <w:rsid w:val="00FF2DB6"/>
    <w:rsid w:val="00FF777D"/>
    <w:rsid w:val="00FF7F62"/>
    <w:rsid w:val="06D43151"/>
    <w:rsid w:val="08026561"/>
    <w:rsid w:val="08283683"/>
    <w:rsid w:val="1ECE4356"/>
    <w:rsid w:val="24FB0E58"/>
    <w:rsid w:val="29BFC3F6"/>
    <w:rsid w:val="37A8CB26"/>
    <w:rsid w:val="4125CDCD"/>
    <w:rsid w:val="44373CE3"/>
    <w:rsid w:val="5A30E593"/>
    <w:rsid w:val="5B52DE42"/>
    <w:rsid w:val="6CFCB085"/>
    <w:rsid w:val="6E351CC2"/>
    <w:rsid w:val="7B3DA8C2"/>
    <w:rsid w:val="7E1F59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sonline.gov.au/internet/mbsonline/publishing.nsf/Content/Factsheet-Telehealth-Updates-April%202023" TargetMode="External"/><Relationship Id="rId13" Type="http://schemas.openxmlformats.org/officeDocument/2006/relationships/hyperlink" Target="https://www.cyber.gov.au/" TargetMode="External"/><Relationship Id="rId18" Type="http://schemas.openxmlformats.org/officeDocument/2006/relationships/hyperlink" Target="https://www.health.gov.au/resources/collections/private-health-insurance-clinical-category-and-procedure-type?language=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ervicesaustralia.gov.au/organisations/health-professionals/news/all" TargetMode="External"/><Relationship Id="rId7" Type="http://schemas.openxmlformats.org/officeDocument/2006/relationships/endnotes" Target="endnotes.xml"/><Relationship Id="rId12" Type="http://schemas.openxmlformats.org/officeDocument/2006/relationships/hyperlink" Target="http://www.mbsonline.gov.au/internet/mbsonline/publishing.nsf/Content/Factsheet-TelehealthPrivChecklist" TargetMode="External"/><Relationship Id="rId17" Type="http://schemas.openxmlformats.org/officeDocument/2006/relationships/hyperlink" Target="https://www.privatehealth.gov.au/health_insurance/phichanges/index.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kMBS@health.gov.au" TargetMode="External"/><Relationship Id="rId20" Type="http://schemas.openxmlformats.org/officeDocument/2006/relationships/hyperlink" Target="mailto:PHI@health.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F2019L00180/latest/tex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9.health.gov.au/mbs/subscribe.cf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health.gov.au/resources/publications/askmbs-advisory-non-gp-specialist-and-consultant-physician-services?language=en" TargetMode="External"/><Relationship Id="rId19" Type="http://schemas.openxmlformats.org/officeDocument/2006/relationships/hyperlink" Target="https://www.legislation.gov.au" TargetMode="External"/><Relationship Id="rId4" Type="http://schemas.openxmlformats.org/officeDocument/2006/relationships/settings" Target="settings.xml"/><Relationship Id="rId9" Type="http://schemas.openxmlformats.org/officeDocument/2006/relationships/hyperlink" Target="https://www.health.gov.au/resources/publications/mbs-review-advisory-committee-telehealth-post-implementation-review-final-report?language=en" TargetMode="External"/><Relationship Id="rId14" Type="http://schemas.openxmlformats.org/officeDocument/2006/relationships/hyperlink" Target="https://www.mbsonline.gov.au/" TargetMode="External"/><Relationship Id="rId22" Type="http://schemas.openxmlformats.org/officeDocument/2006/relationships/hyperlink" Target="https://www.mbsonline.gov.au/internet/mbsonline/publishing.nsf/Content/download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2119</Words>
  <Characters>12736</Characters>
  <Application>Microsoft Office Word</Application>
  <DocSecurity>0</DocSecurity>
  <Lines>606</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2025-10-13T04:18:00Z</dcterms:created>
  <dcterms:modified xsi:type="dcterms:W3CDTF">2025-10-13T04:18:00Z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2f38a83a,553df231,3f9ec74a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61514781,6341b1bc,71f7d7b</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2025-10-13T04:09:58Z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f21ae5c6-9552-42e9-93fc-d7c811f66a35</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