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A5425F4" w:rsidR="00BA2732" w:rsidRDefault="008D7C23" w:rsidP="003D033A">
      <w:pPr>
        <w:pStyle w:val="Title"/>
      </w:pPr>
      <w:r>
        <w:t>S</w:t>
      </w:r>
      <w:r w:rsidR="005011F6" w:rsidRPr="005011F6">
        <w:t xml:space="preserve">ingle operator, single use peroral </w:t>
      </w:r>
      <w:proofErr w:type="spellStart"/>
      <w:r w:rsidR="005011F6" w:rsidRPr="005011F6">
        <w:t>cholangiopancreatoscopy</w:t>
      </w:r>
      <w:proofErr w:type="spellEnd"/>
      <w:r w:rsidR="005011F6" w:rsidRPr="005011F6">
        <w:t xml:space="preserve"> (POCPS)</w:t>
      </w:r>
      <w:r w:rsidR="00EB55DD">
        <w:t xml:space="preserve"> for diagnosis </w:t>
      </w:r>
      <w:r w:rsidR="00965837">
        <w:t xml:space="preserve">of indeterminate biliary strictures </w:t>
      </w:r>
      <w:r w:rsidR="00EB55DD">
        <w:t xml:space="preserve">and removal of difficult </w:t>
      </w:r>
      <w:r w:rsidR="00B1405C">
        <w:t>biliary</w:t>
      </w:r>
      <w:r w:rsidR="00EB55DD">
        <w:t xml:space="preserve"> stones</w:t>
      </w:r>
    </w:p>
    <w:p w14:paraId="6EFD4B5B" w14:textId="1F3EB1EF" w:rsidR="00064168" w:rsidRPr="00867595" w:rsidRDefault="00064168" w:rsidP="006F5073">
      <w:bookmarkStart w:id="0" w:name="_Hlk4568006"/>
      <w:r w:rsidRPr="00867595">
        <w:t xml:space="preserve">Last updated: </w:t>
      </w:r>
      <w:r w:rsidR="00B50DAF">
        <w:t>5</w:t>
      </w:r>
      <w:r w:rsidR="00610799">
        <w:t xml:space="preserve"> </w:t>
      </w:r>
      <w:r w:rsidR="00B50DAF">
        <w:t xml:space="preserve">February </w:t>
      </w:r>
      <w:r w:rsidR="00FC5702">
        <w:t>2024</w:t>
      </w:r>
    </w:p>
    <w:p w14:paraId="77F387DE" w14:textId="7F1C3B7B" w:rsidR="00FC5702" w:rsidRPr="00610799" w:rsidRDefault="00FC5702" w:rsidP="006F5073">
      <w:pPr>
        <w:pStyle w:val="ListBullet"/>
      </w:pPr>
      <w:bookmarkStart w:id="1" w:name="_Hlk535506978"/>
      <w:bookmarkEnd w:id="0"/>
      <w:r>
        <w:t xml:space="preserve">From 1 March </w:t>
      </w:r>
      <w:r w:rsidRPr="00610799">
        <w:t xml:space="preserve">2024, MBS item </w:t>
      </w:r>
      <w:r w:rsidR="005011F6" w:rsidRPr="00610799">
        <w:t>30664</w:t>
      </w:r>
      <w:r w:rsidRPr="00610799">
        <w:t xml:space="preserve"> will be introduced for </w:t>
      </w:r>
      <w:r w:rsidR="005011F6" w:rsidRPr="00610799">
        <w:t xml:space="preserve">single operator, single use peroral </w:t>
      </w:r>
      <w:proofErr w:type="spellStart"/>
      <w:r w:rsidR="005011F6" w:rsidRPr="00610799">
        <w:t>cholangiopancreatoscopy</w:t>
      </w:r>
      <w:proofErr w:type="spellEnd"/>
      <w:r w:rsidR="005011F6" w:rsidRPr="00610799">
        <w:t xml:space="preserve"> (POCPS) for the diagnosis of indeterminate biliary strictures, and MBS item 30665 will be introduced for POCPS for the removal of difficult biliary stones</w:t>
      </w:r>
      <w:r w:rsidR="00F64E0A" w:rsidRPr="00610799">
        <w:t>.</w:t>
      </w:r>
      <w:r w:rsidR="005011F6" w:rsidRPr="00610799">
        <w:t xml:space="preserve"> </w:t>
      </w:r>
    </w:p>
    <w:p w14:paraId="59D564EA" w14:textId="2D74BC54" w:rsidR="00417947" w:rsidRDefault="00417947" w:rsidP="00417947">
      <w:pPr>
        <w:pStyle w:val="ListBullet"/>
      </w:pPr>
      <w:bookmarkStart w:id="2" w:name="_Hlk135729381"/>
      <w:r w:rsidRPr="00610799">
        <w:t>The introduction of these new items was supported by the Medical Services Advisory Committee (MSAC</w:t>
      </w:r>
      <w:r>
        <w:t>) in March 2022</w:t>
      </w:r>
      <w:r w:rsidR="000606A7">
        <w:t>,</w:t>
      </w:r>
      <w:r w:rsidR="004A0805">
        <w:t xml:space="preserve"> and </w:t>
      </w:r>
      <w:r>
        <w:t>approved by the Government for funding on the MBS in the 2023-2024 Budget.</w:t>
      </w:r>
    </w:p>
    <w:bookmarkEnd w:id="1"/>
    <w:bookmarkEnd w:id="2"/>
    <w:p w14:paraId="44460BF5" w14:textId="77777777" w:rsidR="00064168" w:rsidRPr="00867595" w:rsidRDefault="00064168" w:rsidP="00064168">
      <w:pPr>
        <w:pStyle w:val="Heading2"/>
      </w:pPr>
      <w:r w:rsidRPr="00867595">
        <w:t>What are the changes?</w:t>
      </w:r>
    </w:p>
    <w:p w14:paraId="4E459E9A" w14:textId="38E84C0A" w:rsidR="00064168" w:rsidRPr="00867595" w:rsidRDefault="00064168" w:rsidP="00064168">
      <w:pPr>
        <w:rPr>
          <w:szCs w:val="22"/>
        </w:rPr>
      </w:pPr>
      <w:r w:rsidRPr="00867595">
        <w:rPr>
          <w:szCs w:val="22"/>
        </w:rPr>
        <w:t xml:space="preserve">Effective </w:t>
      </w:r>
      <w:r w:rsidR="00FC5702">
        <w:rPr>
          <w:szCs w:val="22"/>
        </w:rPr>
        <w:t xml:space="preserve">1 March 2024, </w:t>
      </w:r>
      <w:r w:rsidR="005E1F6E">
        <w:rPr>
          <w:szCs w:val="22"/>
        </w:rPr>
        <w:t>MBS item</w:t>
      </w:r>
      <w:r w:rsidR="00FC5702">
        <w:rPr>
          <w:szCs w:val="22"/>
        </w:rPr>
        <w:t xml:space="preserve"> </w:t>
      </w:r>
      <w:r w:rsidR="00D426E3">
        <w:t>30664</w:t>
      </w:r>
      <w:r w:rsidR="00A82121">
        <w:t xml:space="preserve"> (</w:t>
      </w:r>
      <w:r w:rsidR="00F55B10">
        <w:t xml:space="preserve">Endoscopic retrograde cholangiopancreatography (ERCP), with single operator, single use peroral </w:t>
      </w:r>
      <w:proofErr w:type="spellStart"/>
      <w:r w:rsidR="00F55B10">
        <w:t>cholangiopancreatoscopy</w:t>
      </w:r>
      <w:proofErr w:type="spellEnd"/>
      <w:r w:rsidR="00F55B10">
        <w:t xml:space="preserve"> (POCPS) and biopsy, for the diagnosis of biliary strictures) and </w:t>
      </w:r>
      <w:r w:rsidR="005E1F6E">
        <w:t xml:space="preserve">MBS </w:t>
      </w:r>
      <w:r w:rsidR="00F55B10">
        <w:t>item 306</w:t>
      </w:r>
      <w:r w:rsidR="0017163C">
        <w:t>65 (</w:t>
      </w:r>
      <w:r w:rsidR="00E737F0">
        <w:t xml:space="preserve">ERCP </w:t>
      </w:r>
      <w:r w:rsidR="00C6092C">
        <w:t xml:space="preserve">with POCPS </w:t>
      </w:r>
      <w:r w:rsidR="008915E4">
        <w:t xml:space="preserve">and electrohydraulic or laser lithotripsy for the removal of </w:t>
      </w:r>
      <w:r w:rsidR="00D50D67">
        <w:t xml:space="preserve">difficult </w:t>
      </w:r>
      <w:r w:rsidR="008915E4">
        <w:t>biliary stones</w:t>
      </w:r>
      <w:r w:rsidR="00D50D67">
        <w:t>)</w:t>
      </w:r>
      <w:r w:rsidR="00C14F24">
        <w:t xml:space="preserve"> will be introduced</w:t>
      </w:r>
      <w:r w:rsidR="00D50D67">
        <w:t>.</w:t>
      </w:r>
    </w:p>
    <w:p w14:paraId="14CB6C78" w14:textId="74354473" w:rsidR="007E0068" w:rsidRDefault="007E0068" w:rsidP="007E0068">
      <w:r>
        <w:t xml:space="preserve">For private health insurance </w:t>
      </w:r>
      <w:r w:rsidR="00C215E9">
        <w:t xml:space="preserve">(PHI) </w:t>
      </w:r>
      <w:r>
        <w:t xml:space="preserve">purposes, </w:t>
      </w:r>
      <w:r w:rsidR="00E93AC9">
        <w:t xml:space="preserve">the items </w:t>
      </w:r>
      <w:r w:rsidR="00A74579">
        <w:t xml:space="preserve">will </w:t>
      </w:r>
      <w:r>
        <w:t>be listed under the following clinical category and procedure type</w:t>
      </w:r>
      <w:r w:rsidR="00E93AC9">
        <w:t>s</w:t>
      </w:r>
      <w:r>
        <w:t>:</w:t>
      </w:r>
    </w:p>
    <w:p w14:paraId="683155C6" w14:textId="723EDDCF" w:rsidR="00C14F24" w:rsidRDefault="00E93AC9" w:rsidP="00C215E9">
      <w:r>
        <w:t>Item 30664</w:t>
      </w:r>
      <w:r w:rsidR="00065D89">
        <w:t xml:space="preserve">: </w:t>
      </w:r>
    </w:p>
    <w:p w14:paraId="01E93E38" w14:textId="002650B9" w:rsidR="00C14F24" w:rsidRDefault="007E0068" w:rsidP="00C215E9">
      <w:r>
        <w:t>Clinical category:</w:t>
      </w:r>
      <w:r w:rsidR="0041073F">
        <w:t xml:space="preserve"> </w:t>
      </w:r>
      <w:r w:rsidR="0041073F" w:rsidRPr="0041073F">
        <w:t>Gastrointestinal endoscopy</w:t>
      </w:r>
      <w:r w:rsidR="00935612">
        <w:t xml:space="preserve"> </w:t>
      </w:r>
    </w:p>
    <w:p w14:paraId="0F393FB5" w14:textId="73B856DC" w:rsidR="007E0068" w:rsidRDefault="007E0068" w:rsidP="00C215E9">
      <w:r>
        <w:t>Procedure type:</w:t>
      </w:r>
      <w:r w:rsidR="00F13229" w:rsidRPr="00F13229">
        <w:t xml:space="preserve"> Type A Surgical</w:t>
      </w:r>
    </w:p>
    <w:p w14:paraId="5DCFE1FA" w14:textId="58F36A19" w:rsidR="00C14F24" w:rsidRDefault="00935612" w:rsidP="00C215E9">
      <w:r>
        <w:t>Item 30665</w:t>
      </w:r>
      <w:r w:rsidR="000606A7">
        <w:t>:</w:t>
      </w:r>
      <w:r w:rsidR="000B23EE">
        <w:t xml:space="preserve"> </w:t>
      </w:r>
    </w:p>
    <w:p w14:paraId="5D268DDD" w14:textId="0D3A3753" w:rsidR="00C14F24" w:rsidRDefault="00935612" w:rsidP="00C215E9">
      <w:r>
        <w:t>Clinical category:</w:t>
      </w:r>
      <w:r w:rsidR="00937650">
        <w:t xml:space="preserve"> </w:t>
      </w:r>
      <w:r w:rsidR="00937650" w:rsidRPr="0041073F">
        <w:t>Gastrointestinal endoscopy</w:t>
      </w:r>
      <w:r>
        <w:t xml:space="preserve"> </w:t>
      </w:r>
    </w:p>
    <w:p w14:paraId="01572205" w14:textId="46F5C22A" w:rsidR="00935612" w:rsidRPr="007E0068" w:rsidRDefault="00935612" w:rsidP="00C215E9">
      <w:r>
        <w:t>Procedure type:</w:t>
      </w:r>
      <w:r w:rsidR="003F40F4">
        <w:t xml:space="preserve"> Type A </w:t>
      </w:r>
      <w:r w:rsidR="003F40F4" w:rsidRPr="003F40F4">
        <w:t>Surgical</w:t>
      </w:r>
    </w:p>
    <w:p w14:paraId="42BD5171" w14:textId="77777777" w:rsidR="00064168" w:rsidRDefault="00064168" w:rsidP="00064168">
      <w:pPr>
        <w:pStyle w:val="Heading2"/>
      </w:pPr>
      <w:r>
        <w:lastRenderedPageBreak/>
        <w:t>Why are the changes being made?</w:t>
      </w:r>
    </w:p>
    <w:p w14:paraId="50C8042A" w14:textId="0EB8CE52" w:rsidR="00FC5702" w:rsidRDefault="00116E91" w:rsidP="00A779F7">
      <w:pPr>
        <w:pStyle w:val="pf0"/>
      </w:pPr>
      <w:r w:rsidRPr="00A779F7">
        <w:rPr>
          <w:rFonts w:ascii="Arial" w:hAnsi="Arial"/>
          <w:color w:val="000000" w:themeColor="text1"/>
          <w:sz w:val="22"/>
          <w:lang w:eastAsia="en-US"/>
        </w:rPr>
        <w:t>At its March 202</w:t>
      </w:r>
      <w:r w:rsidR="00802703" w:rsidRPr="00A779F7">
        <w:rPr>
          <w:rFonts w:ascii="Arial" w:hAnsi="Arial"/>
          <w:color w:val="000000" w:themeColor="text1"/>
          <w:sz w:val="22"/>
          <w:lang w:eastAsia="en-US"/>
        </w:rPr>
        <w:t>2</w:t>
      </w:r>
      <w:r w:rsidRPr="00A779F7">
        <w:rPr>
          <w:rFonts w:ascii="Arial" w:hAnsi="Arial"/>
          <w:color w:val="000000" w:themeColor="text1"/>
          <w:sz w:val="22"/>
          <w:lang w:eastAsia="en-US"/>
        </w:rPr>
        <w:t xml:space="preserve"> meeting, the Medical Services Advisory Committee (MSAC) supported the </w:t>
      </w:r>
      <w:r w:rsidR="00083B41">
        <w:rPr>
          <w:rFonts w:ascii="Arial" w:hAnsi="Arial"/>
          <w:color w:val="000000" w:themeColor="text1"/>
          <w:sz w:val="22"/>
          <w:lang w:eastAsia="en-US"/>
        </w:rPr>
        <w:t>listing</w:t>
      </w:r>
      <w:r w:rsidRPr="00A779F7">
        <w:rPr>
          <w:rFonts w:ascii="Arial" w:hAnsi="Arial"/>
          <w:color w:val="000000" w:themeColor="text1"/>
          <w:sz w:val="22"/>
          <w:lang w:eastAsia="en-US"/>
        </w:rPr>
        <w:t xml:space="preserve"> of </w:t>
      </w:r>
      <w:r w:rsidR="00802703" w:rsidRPr="00A779F7">
        <w:rPr>
          <w:rFonts w:ascii="Arial" w:hAnsi="Arial"/>
          <w:color w:val="000000" w:themeColor="text1"/>
          <w:sz w:val="22"/>
          <w:lang w:eastAsia="en-US"/>
        </w:rPr>
        <w:t>these items</w:t>
      </w:r>
      <w:r w:rsidRPr="00A779F7">
        <w:rPr>
          <w:rFonts w:ascii="Arial" w:hAnsi="Arial"/>
          <w:color w:val="000000" w:themeColor="text1"/>
          <w:sz w:val="22"/>
          <w:lang w:eastAsia="en-US"/>
        </w:rPr>
        <w:t>, under</w:t>
      </w:r>
      <w:r>
        <w:rPr>
          <w:rStyle w:val="cf01"/>
        </w:rPr>
        <w:t xml:space="preserve"> </w:t>
      </w:r>
      <w:hyperlink r:id="rId8" w:history="1">
        <w:r w:rsidRPr="002D7CF0">
          <w:rPr>
            <w:rStyle w:val="Hyperlink"/>
            <w:rFonts w:ascii="Arial" w:hAnsi="Arial" w:cs="Arial"/>
            <w:sz w:val="22"/>
            <w:szCs w:val="22"/>
          </w:rPr>
          <w:t>Application 16</w:t>
        </w:r>
        <w:r w:rsidR="00E21BDB" w:rsidRPr="002D7CF0">
          <w:rPr>
            <w:rStyle w:val="Hyperlink"/>
            <w:rFonts w:ascii="Arial" w:hAnsi="Arial" w:cs="Arial"/>
            <w:sz w:val="22"/>
            <w:szCs w:val="22"/>
          </w:rPr>
          <w:t>73</w:t>
        </w:r>
      </w:hyperlink>
      <w:r>
        <w:rPr>
          <w:rStyle w:val="cf01"/>
        </w:rPr>
        <w:t xml:space="preserve">. </w:t>
      </w:r>
      <w:r w:rsidRPr="00A779F7">
        <w:rPr>
          <w:rFonts w:ascii="Arial" w:hAnsi="Arial"/>
          <w:color w:val="000000" w:themeColor="text1"/>
          <w:sz w:val="22"/>
          <w:lang w:eastAsia="en-US"/>
        </w:rPr>
        <w:t xml:space="preserve">Further details about </w:t>
      </w:r>
      <w:r w:rsidR="00A779F7" w:rsidRPr="00A779F7">
        <w:rPr>
          <w:rFonts w:ascii="Arial" w:hAnsi="Arial"/>
          <w:color w:val="000000" w:themeColor="text1"/>
          <w:sz w:val="22"/>
          <w:lang w:eastAsia="en-US"/>
        </w:rPr>
        <w:t xml:space="preserve">the application </w:t>
      </w:r>
      <w:r w:rsidRPr="00A779F7">
        <w:rPr>
          <w:rFonts w:ascii="Arial" w:hAnsi="Arial"/>
          <w:color w:val="000000" w:themeColor="text1"/>
          <w:sz w:val="22"/>
          <w:lang w:eastAsia="en-US"/>
        </w:rPr>
        <w:t xml:space="preserve">can be found under </w:t>
      </w:r>
      <w:hyperlink r:id="rId9" w:history="1">
        <w:r w:rsidRPr="00A779F7">
          <w:rPr>
            <w:rStyle w:val="cf21"/>
            <w:rFonts w:ascii="Arial" w:hAnsi="Arial" w:cs="Arial"/>
            <w:color w:val="0000FF"/>
            <w:sz w:val="22"/>
            <w:szCs w:val="22"/>
            <w:u w:val="single"/>
          </w:rPr>
          <w:t>MSAC Applications</w:t>
        </w:r>
      </w:hyperlink>
      <w:r>
        <w:rPr>
          <w:rStyle w:val="cf01"/>
        </w:rPr>
        <w:t xml:space="preserve"> </w:t>
      </w:r>
      <w:r w:rsidRPr="00A779F7">
        <w:rPr>
          <w:rFonts w:ascii="Arial" w:hAnsi="Arial"/>
          <w:color w:val="000000" w:themeColor="text1"/>
          <w:sz w:val="22"/>
          <w:lang w:eastAsia="en-US"/>
        </w:rPr>
        <w:t>on the MSAC website</w:t>
      </w:r>
      <w:r>
        <w:rPr>
          <w:rStyle w:val="cf01"/>
        </w:rPr>
        <w:t xml:space="preserve"> (</w:t>
      </w:r>
      <w:hyperlink r:id="rId10" w:history="1">
        <w:r w:rsidRPr="00A779F7">
          <w:rPr>
            <w:rStyle w:val="cf21"/>
            <w:rFonts w:ascii="Arial" w:hAnsi="Arial" w:cs="Arial"/>
            <w:color w:val="0000FF"/>
            <w:sz w:val="22"/>
            <w:szCs w:val="22"/>
            <w:u w:val="single"/>
          </w:rPr>
          <w:t>Medical Services Advisory Committee</w:t>
        </w:r>
      </w:hyperlink>
      <w:r>
        <w:rPr>
          <w:rStyle w:val="cf01"/>
        </w:rPr>
        <w:t>).</w:t>
      </w:r>
      <w:r w:rsidR="00A779F7">
        <w:t xml:space="preserve"> </w:t>
      </w:r>
    </w:p>
    <w:p w14:paraId="4B2559AC" w14:textId="17B53FF6" w:rsidR="00064168" w:rsidRDefault="00064168" w:rsidP="00064168">
      <w:pPr>
        <w:pStyle w:val="Heading2"/>
      </w:pPr>
      <w:r>
        <w:t>What does this mean for providers?</w:t>
      </w:r>
    </w:p>
    <w:p w14:paraId="0A948E8B" w14:textId="501EA9EC" w:rsidR="001E6AA7" w:rsidRPr="00F4244F" w:rsidRDefault="00FC5702" w:rsidP="00323A56">
      <w:pPr>
        <w:rPr>
          <w:szCs w:val="22"/>
        </w:rPr>
      </w:pPr>
      <w:r w:rsidRPr="00F4244F">
        <w:rPr>
          <w:szCs w:val="22"/>
        </w:rPr>
        <w:t>From 1 March 2024,</w:t>
      </w:r>
      <w:r w:rsidR="00A4260F" w:rsidRPr="00F4244F">
        <w:rPr>
          <w:szCs w:val="22"/>
        </w:rPr>
        <w:t xml:space="preserve"> </w:t>
      </w:r>
      <w:proofErr w:type="gramStart"/>
      <w:r w:rsidR="00981618" w:rsidRPr="00CF70EF">
        <w:rPr>
          <w:szCs w:val="22"/>
        </w:rPr>
        <w:t>surgeons</w:t>
      </w:r>
      <w:proofErr w:type="gramEnd"/>
      <w:r w:rsidR="00981618" w:rsidRPr="00CF70EF">
        <w:rPr>
          <w:szCs w:val="22"/>
        </w:rPr>
        <w:t xml:space="preserve"> or gastroenterologists with ERCP training recognised by the Conjoint Committee for the Recognition of Training in Gastrointestinal Endoscopy</w:t>
      </w:r>
      <w:r w:rsidRPr="00F4244F">
        <w:rPr>
          <w:szCs w:val="22"/>
        </w:rPr>
        <w:t xml:space="preserve"> will be able to </w:t>
      </w:r>
      <w:r w:rsidR="003A76E6" w:rsidRPr="00F4244F">
        <w:rPr>
          <w:szCs w:val="22"/>
        </w:rPr>
        <w:t>bill</w:t>
      </w:r>
      <w:r w:rsidR="00C20E65">
        <w:rPr>
          <w:szCs w:val="22"/>
        </w:rPr>
        <w:t xml:space="preserve"> MBS</w:t>
      </w:r>
      <w:r w:rsidR="003A76E6" w:rsidRPr="00F4244F">
        <w:rPr>
          <w:szCs w:val="22"/>
        </w:rPr>
        <w:t xml:space="preserve"> item 30664 </w:t>
      </w:r>
      <w:r w:rsidR="0073228A" w:rsidRPr="00F4244F">
        <w:rPr>
          <w:szCs w:val="22"/>
        </w:rPr>
        <w:t xml:space="preserve">when </w:t>
      </w:r>
      <w:r w:rsidR="00251DCE" w:rsidRPr="00F4244F">
        <w:rPr>
          <w:szCs w:val="22"/>
        </w:rPr>
        <w:t xml:space="preserve">ERCP with </w:t>
      </w:r>
      <w:r w:rsidR="0073228A" w:rsidRPr="00F4244F">
        <w:rPr>
          <w:szCs w:val="22"/>
        </w:rPr>
        <w:t xml:space="preserve">POCPS has </w:t>
      </w:r>
      <w:r w:rsidR="00A4260F" w:rsidRPr="00F4244F">
        <w:rPr>
          <w:szCs w:val="22"/>
        </w:rPr>
        <w:t xml:space="preserve">been required to </w:t>
      </w:r>
      <w:r w:rsidR="00B93D07" w:rsidRPr="00F4244F">
        <w:rPr>
          <w:szCs w:val="22"/>
        </w:rPr>
        <w:t>diagnos</w:t>
      </w:r>
      <w:r w:rsidR="00DE2B88" w:rsidRPr="00F4244F">
        <w:rPr>
          <w:szCs w:val="22"/>
        </w:rPr>
        <w:t>e</w:t>
      </w:r>
      <w:r w:rsidR="00B93D07" w:rsidRPr="00F4244F">
        <w:rPr>
          <w:szCs w:val="22"/>
        </w:rPr>
        <w:t xml:space="preserve"> biliary strictures</w:t>
      </w:r>
      <w:r w:rsidR="006F58C7">
        <w:rPr>
          <w:szCs w:val="22"/>
        </w:rPr>
        <w:t>, and</w:t>
      </w:r>
      <w:r w:rsidR="00C20E65">
        <w:rPr>
          <w:szCs w:val="22"/>
        </w:rPr>
        <w:t xml:space="preserve"> MBS</w:t>
      </w:r>
      <w:r w:rsidR="006F58C7">
        <w:rPr>
          <w:szCs w:val="22"/>
        </w:rPr>
        <w:t xml:space="preserve"> item 30665 when ERCP with POCP</w:t>
      </w:r>
      <w:r w:rsidR="004F656F">
        <w:rPr>
          <w:szCs w:val="22"/>
        </w:rPr>
        <w:t>S</w:t>
      </w:r>
      <w:r w:rsidR="006F58C7">
        <w:rPr>
          <w:szCs w:val="22"/>
        </w:rPr>
        <w:t xml:space="preserve"> has </w:t>
      </w:r>
      <w:r w:rsidR="004F656F">
        <w:rPr>
          <w:szCs w:val="22"/>
        </w:rPr>
        <w:t>been required to remove difficult biliary stones.</w:t>
      </w:r>
    </w:p>
    <w:p w14:paraId="0F9AB36C" w14:textId="0D691EC8" w:rsidR="00323A56" w:rsidRPr="00F4244F" w:rsidRDefault="00323A56" w:rsidP="00323A56">
      <w:pPr>
        <w:rPr>
          <w:szCs w:val="22"/>
        </w:rPr>
      </w:pPr>
      <w:r w:rsidRPr="00F4244F">
        <w:rPr>
          <w:szCs w:val="22"/>
        </w:rPr>
        <w:t>The specific clinical setting</w:t>
      </w:r>
      <w:r w:rsidR="007E76F5">
        <w:rPr>
          <w:szCs w:val="22"/>
        </w:rPr>
        <w:t>s</w:t>
      </w:r>
      <w:r w:rsidRPr="00F4244F">
        <w:rPr>
          <w:szCs w:val="22"/>
        </w:rPr>
        <w:t xml:space="preserve"> in which th</w:t>
      </w:r>
      <w:r w:rsidR="001E6AA7" w:rsidRPr="00F4244F">
        <w:rPr>
          <w:szCs w:val="22"/>
        </w:rPr>
        <w:t>ese</w:t>
      </w:r>
      <w:r w:rsidRPr="00F4244F">
        <w:rPr>
          <w:szCs w:val="22"/>
        </w:rPr>
        <w:t xml:space="preserve"> service</w:t>
      </w:r>
      <w:r w:rsidR="00604118" w:rsidRPr="00F4244F">
        <w:rPr>
          <w:szCs w:val="22"/>
        </w:rPr>
        <w:t>s</w:t>
      </w:r>
      <w:r w:rsidRPr="00F4244F">
        <w:rPr>
          <w:szCs w:val="22"/>
        </w:rPr>
        <w:t xml:space="preserve"> can be performed and billed is provided </w:t>
      </w:r>
      <w:r w:rsidR="009F2A0A" w:rsidRPr="00F4244F">
        <w:rPr>
          <w:szCs w:val="22"/>
        </w:rPr>
        <w:t>i</w:t>
      </w:r>
      <w:r w:rsidRPr="00F4244F">
        <w:rPr>
          <w:szCs w:val="22"/>
        </w:rPr>
        <w:t xml:space="preserve">n the </w:t>
      </w:r>
      <w:r w:rsidR="00604118" w:rsidRPr="00F4244F">
        <w:rPr>
          <w:szCs w:val="22"/>
        </w:rPr>
        <w:t>item des</w:t>
      </w:r>
      <w:r w:rsidR="001E6AA7" w:rsidRPr="00F4244F">
        <w:rPr>
          <w:szCs w:val="22"/>
        </w:rPr>
        <w:t>criptors</w:t>
      </w:r>
      <w:r w:rsidR="00094972" w:rsidRPr="00F4244F">
        <w:rPr>
          <w:szCs w:val="22"/>
        </w:rPr>
        <w:t xml:space="preserve"> for these services (</w:t>
      </w:r>
      <w:r w:rsidR="009F2A0A" w:rsidRPr="00F4244F">
        <w:rPr>
          <w:szCs w:val="22"/>
        </w:rPr>
        <w:t>page</w:t>
      </w:r>
      <w:r w:rsidR="000606A7">
        <w:rPr>
          <w:szCs w:val="22"/>
        </w:rPr>
        <w:t>s</w:t>
      </w:r>
      <w:r w:rsidR="009F2A0A" w:rsidRPr="00F4244F">
        <w:rPr>
          <w:szCs w:val="22"/>
        </w:rPr>
        <w:t xml:space="preserve"> </w:t>
      </w:r>
      <w:r w:rsidR="00CF676B">
        <w:rPr>
          <w:szCs w:val="22"/>
        </w:rPr>
        <w:t>3-</w:t>
      </w:r>
      <w:r w:rsidR="00C14F24">
        <w:rPr>
          <w:szCs w:val="22"/>
        </w:rPr>
        <w:t>6</w:t>
      </w:r>
      <w:r w:rsidR="009F2A0A" w:rsidRPr="00F4244F">
        <w:rPr>
          <w:szCs w:val="22"/>
        </w:rPr>
        <w:t xml:space="preserve"> of this factsheet</w:t>
      </w:r>
      <w:r w:rsidR="00094972" w:rsidRPr="00F4244F">
        <w:rPr>
          <w:szCs w:val="22"/>
        </w:rPr>
        <w:t>)</w:t>
      </w:r>
      <w:r w:rsidRPr="00F4244F">
        <w:rPr>
          <w:szCs w:val="22"/>
        </w:rPr>
        <w:t>.</w:t>
      </w:r>
      <w:r w:rsidR="00B020DC" w:rsidRPr="00F4244F">
        <w:rPr>
          <w:szCs w:val="22"/>
        </w:rPr>
        <w:t xml:space="preserve"> </w:t>
      </w:r>
    </w:p>
    <w:p w14:paraId="0F240802" w14:textId="647E292A" w:rsidR="001E6AA7" w:rsidRDefault="00F05441" w:rsidP="00323A56">
      <w:pPr>
        <w:rPr>
          <w:szCs w:val="22"/>
        </w:rPr>
      </w:pPr>
      <w:r>
        <w:rPr>
          <w:szCs w:val="22"/>
        </w:rPr>
        <w:t>Please note i</w:t>
      </w:r>
      <w:r w:rsidR="001E6AA7" w:rsidRPr="00F4244F">
        <w:rPr>
          <w:szCs w:val="22"/>
        </w:rPr>
        <w:t>tems</w:t>
      </w:r>
      <w:r w:rsidR="00F4244F" w:rsidRPr="00F4244F">
        <w:rPr>
          <w:szCs w:val="22"/>
        </w:rPr>
        <w:t xml:space="preserve"> 30664 and 30665</w:t>
      </w:r>
      <w:r w:rsidR="001E6AA7" w:rsidRPr="00F4244F">
        <w:rPr>
          <w:szCs w:val="22"/>
        </w:rPr>
        <w:t xml:space="preserve"> are inclusive of the ERCP and POCPS procedure</w:t>
      </w:r>
      <w:r w:rsidR="005E3318">
        <w:rPr>
          <w:szCs w:val="22"/>
        </w:rPr>
        <w:t>s</w:t>
      </w:r>
      <w:r w:rsidR="00F4244F" w:rsidRPr="00F4244F">
        <w:rPr>
          <w:szCs w:val="22"/>
        </w:rPr>
        <w:t xml:space="preserve">, </w:t>
      </w:r>
      <w:proofErr w:type="gramStart"/>
      <w:r w:rsidR="00F4244F" w:rsidRPr="00F4244F">
        <w:rPr>
          <w:szCs w:val="22"/>
        </w:rPr>
        <w:t>i.e.</w:t>
      </w:r>
      <w:proofErr w:type="gramEnd"/>
      <w:r w:rsidR="00D81B8F" w:rsidRPr="00F4244F">
        <w:rPr>
          <w:szCs w:val="22"/>
        </w:rPr>
        <w:t xml:space="preserve"> </w:t>
      </w:r>
      <w:r w:rsidR="001E6AA7" w:rsidRPr="00F4244F">
        <w:rPr>
          <w:szCs w:val="22"/>
        </w:rPr>
        <w:t>the ERCP procedure (30484) cannot be billed in addition to item 30664 or 30665.</w:t>
      </w:r>
    </w:p>
    <w:p w14:paraId="7F7DA4F7" w14:textId="70F4FFFA" w:rsidR="00064168" w:rsidRDefault="00064168" w:rsidP="00064168">
      <w:pPr>
        <w:pStyle w:val="Heading2"/>
      </w:pPr>
      <w:r>
        <w:t>How will these changes affect patients</w:t>
      </w:r>
      <w:r w:rsidRPr="001A7FB7">
        <w:t>?</w:t>
      </w:r>
    </w:p>
    <w:p w14:paraId="588857F9" w14:textId="28F74065" w:rsidR="00C14F24" w:rsidRPr="00363E32" w:rsidRDefault="00C14F24" w:rsidP="00C14F24">
      <w:pPr>
        <w:rPr>
          <w:szCs w:val="20"/>
          <w:lang w:eastAsia="en-AU"/>
        </w:rPr>
      </w:pPr>
      <w:r w:rsidRPr="00363E32">
        <w:t xml:space="preserve">Patients will receive Medicare benefits </w:t>
      </w:r>
      <w:r w:rsidRPr="00363E32">
        <w:rPr>
          <w:szCs w:val="20"/>
          <w:lang w:eastAsia="en-AU"/>
        </w:rPr>
        <w:t>where a POCPS procedure has been required for the diagnosis of biliary strictures (item 30664) or for the removal of biliary stones (item 30665). A benefit will be available to a patient up to 2 times in a 12-month period for services provided under item 30664. However, where a patient has been diagnosed with primary sclerosing cholangitis a benefit will be available to the patient up to 3 times in a 12-month period</w:t>
      </w:r>
      <w:r>
        <w:rPr>
          <w:szCs w:val="20"/>
          <w:lang w:eastAsia="en-AU"/>
        </w:rPr>
        <w:t xml:space="preserve"> under this item</w:t>
      </w:r>
      <w:r w:rsidRPr="00363E32">
        <w:rPr>
          <w:szCs w:val="20"/>
          <w:lang w:eastAsia="en-AU"/>
        </w:rPr>
        <w:t xml:space="preserve">. </w:t>
      </w:r>
    </w:p>
    <w:p w14:paraId="122E8AC0" w14:textId="473F589E" w:rsidR="00FC5702" w:rsidRPr="006F5073" w:rsidRDefault="00BA6B42" w:rsidP="00FC5702">
      <w:r>
        <w:rPr>
          <w:szCs w:val="20"/>
          <w:lang w:eastAsia="en-AU"/>
        </w:rPr>
        <w:t xml:space="preserve">A </w:t>
      </w:r>
      <w:r w:rsidR="000B23EE">
        <w:rPr>
          <w:szCs w:val="20"/>
          <w:lang w:eastAsia="en-AU"/>
        </w:rPr>
        <w:t>benefit</w:t>
      </w:r>
      <w:r>
        <w:rPr>
          <w:szCs w:val="20"/>
          <w:lang w:eastAsia="en-AU"/>
        </w:rPr>
        <w:t xml:space="preserve"> will be available </w:t>
      </w:r>
      <w:r w:rsidR="00036BDA">
        <w:rPr>
          <w:szCs w:val="20"/>
          <w:lang w:eastAsia="en-AU"/>
        </w:rPr>
        <w:t xml:space="preserve">to a patient </w:t>
      </w:r>
      <w:r w:rsidR="001D3765" w:rsidRPr="005541FD">
        <w:rPr>
          <w:szCs w:val="20"/>
          <w:lang w:eastAsia="en-AU"/>
        </w:rPr>
        <w:t xml:space="preserve">twice per treatment cycle </w:t>
      </w:r>
      <w:r w:rsidR="00036BDA">
        <w:rPr>
          <w:szCs w:val="20"/>
          <w:lang w:eastAsia="en-AU"/>
        </w:rPr>
        <w:t xml:space="preserve">for services provided under item </w:t>
      </w:r>
      <w:r w:rsidR="00B635FB">
        <w:rPr>
          <w:szCs w:val="20"/>
          <w:lang w:eastAsia="en-AU"/>
        </w:rPr>
        <w:t>30665.</w:t>
      </w:r>
      <w:r w:rsidR="000606A7">
        <w:rPr>
          <w:szCs w:val="20"/>
          <w:lang w:eastAsia="en-AU"/>
        </w:rPr>
        <w:t xml:space="preserve"> ‘</w:t>
      </w:r>
      <w:r w:rsidR="00B4448E">
        <w:rPr>
          <w:szCs w:val="20"/>
          <w:lang w:eastAsia="en-AU"/>
        </w:rPr>
        <w:t xml:space="preserve">Treatment cycle’ </w:t>
      </w:r>
      <w:r w:rsidR="00761A34">
        <w:rPr>
          <w:szCs w:val="20"/>
          <w:lang w:eastAsia="en-AU"/>
        </w:rPr>
        <w:t>will be defined</w:t>
      </w:r>
      <w:r w:rsidR="00053462">
        <w:rPr>
          <w:szCs w:val="20"/>
          <w:lang w:eastAsia="en-AU"/>
        </w:rPr>
        <w:t xml:space="preserve"> in explanatory note </w:t>
      </w:r>
      <w:r w:rsidR="00053462" w:rsidRPr="002E4ADD">
        <w:rPr>
          <w:szCs w:val="22"/>
        </w:rPr>
        <w:t>TN.8.17 Gastrointestinal Endoscopic Procedures</w:t>
      </w:r>
      <w:r w:rsidR="00653347">
        <w:rPr>
          <w:szCs w:val="22"/>
        </w:rPr>
        <w:t xml:space="preserve"> (</w:t>
      </w:r>
      <w:r w:rsidR="00653347" w:rsidRPr="00205BF8">
        <w:rPr>
          <w:szCs w:val="22"/>
        </w:rPr>
        <w:t>see page</w:t>
      </w:r>
      <w:r w:rsidR="005017B3">
        <w:rPr>
          <w:szCs w:val="22"/>
        </w:rPr>
        <w:t xml:space="preserve">s </w:t>
      </w:r>
      <w:r w:rsidR="00C14F24">
        <w:rPr>
          <w:szCs w:val="22"/>
        </w:rPr>
        <w:t>5</w:t>
      </w:r>
      <w:r w:rsidR="005017B3">
        <w:rPr>
          <w:szCs w:val="22"/>
        </w:rPr>
        <w:t>-</w:t>
      </w:r>
      <w:r w:rsidR="00C14F24">
        <w:rPr>
          <w:szCs w:val="22"/>
        </w:rPr>
        <w:t>6</w:t>
      </w:r>
      <w:r w:rsidR="00653347" w:rsidRPr="00205BF8">
        <w:rPr>
          <w:szCs w:val="22"/>
        </w:rPr>
        <w:t xml:space="preserve"> of this factsheet</w:t>
      </w:r>
      <w:r w:rsidR="00653347">
        <w:rPr>
          <w:szCs w:val="22"/>
        </w:rPr>
        <w:t>)</w:t>
      </w:r>
      <w:r w:rsidR="00205BF8">
        <w:rPr>
          <w:szCs w:val="22"/>
        </w:rPr>
        <w:t>.</w:t>
      </w:r>
    </w:p>
    <w:p w14:paraId="5BD9BE80" w14:textId="77777777" w:rsidR="00064168" w:rsidRDefault="00064168" w:rsidP="00064168">
      <w:pPr>
        <w:pStyle w:val="Heading2"/>
      </w:pPr>
      <w:r w:rsidRPr="001A7FB7">
        <w:t>Who was consulted on the changes?</w:t>
      </w:r>
    </w:p>
    <w:p w14:paraId="7D1E80A4" w14:textId="705D5C59" w:rsidR="00FC5702" w:rsidRDefault="00FC5702" w:rsidP="00064168">
      <w:pPr>
        <w:rPr>
          <w:bCs/>
          <w:iCs/>
          <w:lang w:eastAsia="en-AU"/>
        </w:rPr>
      </w:pPr>
      <w:r>
        <w:rPr>
          <w:szCs w:val="22"/>
        </w:rPr>
        <w:t>Consultation on the new MBS item</w:t>
      </w:r>
      <w:r w:rsidR="00446D59">
        <w:rPr>
          <w:szCs w:val="22"/>
        </w:rPr>
        <w:t>s</w:t>
      </w:r>
      <w:r>
        <w:rPr>
          <w:szCs w:val="22"/>
        </w:rPr>
        <w:t xml:space="preserve"> occurred with the following organisations: </w:t>
      </w:r>
      <w:r w:rsidR="00446D59" w:rsidRPr="005541FD">
        <w:rPr>
          <w:bCs/>
          <w:iCs/>
          <w:lang w:eastAsia="en-AU"/>
        </w:rPr>
        <w:t>the Gastroenterological Society of Australia (GESA)</w:t>
      </w:r>
      <w:r w:rsidR="008B1C2B">
        <w:rPr>
          <w:bCs/>
          <w:iCs/>
          <w:lang w:eastAsia="en-AU"/>
        </w:rPr>
        <w:t xml:space="preserve">, General Surgeons Australia, the </w:t>
      </w:r>
      <w:r w:rsidR="008B1C2B" w:rsidRPr="00FB3A06">
        <w:rPr>
          <w:bCs/>
          <w:iCs/>
          <w:lang w:eastAsia="en-AU"/>
        </w:rPr>
        <w:t>Australian and Aotearoa New Zealand Gastric and Oesophageal Surgery Association</w:t>
      </w:r>
      <w:r w:rsidR="000606A7">
        <w:rPr>
          <w:bCs/>
          <w:iCs/>
          <w:lang w:eastAsia="en-AU"/>
        </w:rPr>
        <w:t>,</w:t>
      </w:r>
      <w:r w:rsidR="008B1C2B">
        <w:rPr>
          <w:bCs/>
          <w:iCs/>
          <w:lang w:eastAsia="en-AU"/>
        </w:rPr>
        <w:t xml:space="preserve"> and the </w:t>
      </w:r>
      <w:proofErr w:type="spellStart"/>
      <w:r w:rsidR="008B1C2B">
        <w:rPr>
          <w:bCs/>
          <w:iCs/>
          <w:lang w:eastAsia="en-AU"/>
        </w:rPr>
        <w:t>Pancare</w:t>
      </w:r>
      <w:proofErr w:type="spellEnd"/>
      <w:r w:rsidR="008B1C2B">
        <w:rPr>
          <w:bCs/>
          <w:iCs/>
          <w:lang w:eastAsia="en-AU"/>
        </w:rPr>
        <w:t xml:space="preserve"> Foundation.</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06E5FD5F" w14:textId="2F691BEB" w:rsidR="00FC5702" w:rsidRDefault="00FC5702" w:rsidP="00064168">
      <w:pPr>
        <w:pStyle w:val="Heading2"/>
        <w:rPr>
          <w:rFonts w:cs="Times New Roman"/>
          <w:b w:val="0"/>
          <w:bCs w:val="0"/>
          <w:iCs w:val="0"/>
          <w:color w:val="000000" w:themeColor="text1"/>
          <w:sz w:val="22"/>
          <w:szCs w:val="22"/>
        </w:rPr>
      </w:pPr>
      <w:r w:rsidRPr="00FC5702">
        <w:rPr>
          <w:rFonts w:cs="Times New Roman"/>
          <w:b w:val="0"/>
          <w:bCs w:val="0"/>
          <w:iCs w:val="0"/>
          <w:color w:val="000000" w:themeColor="text1"/>
          <w:sz w:val="22"/>
          <w:szCs w:val="22"/>
        </w:rPr>
        <w:t xml:space="preserve">Service use </w:t>
      </w:r>
      <w:r w:rsidR="00AD3012">
        <w:rPr>
          <w:rFonts w:cs="Times New Roman"/>
          <w:b w:val="0"/>
          <w:bCs w:val="0"/>
          <w:iCs w:val="0"/>
          <w:color w:val="000000" w:themeColor="text1"/>
          <w:sz w:val="22"/>
          <w:szCs w:val="22"/>
        </w:rPr>
        <w:t xml:space="preserve">of items 30664 and 30665 </w:t>
      </w:r>
      <w:r w:rsidRPr="00FC5702">
        <w:rPr>
          <w:rFonts w:cs="Times New Roman"/>
          <w:b w:val="0"/>
          <w:bCs w:val="0"/>
          <w:iCs w:val="0"/>
          <w:color w:val="000000" w:themeColor="text1"/>
          <w:sz w:val="22"/>
          <w:szCs w:val="22"/>
        </w:rPr>
        <w:t xml:space="preserve">will be monitored and reviewed post-implementation. </w:t>
      </w:r>
    </w:p>
    <w:p w14:paraId="7FB9D382" w14:textId="1F2FC6AF" w:rsidR="00FC5702" w:rsidRPr="00FC5702" w:rsidRDefault="00FC5702" w:rsidP="00064168">
      <w:pPr>
        <w:pStyle w:val="Heading2"/>
        <w:rPr>
          <w:rFonts w:cs="Times New Roman"/>
          <w:b w:val="0"/>
          <w:bCs w:val="0"/>
          <w:iCs w:val="0"/>
          <w:color w:val="000000" w:themeColor="text1"/>
          <w:sz w:val="22"/>
          <w:szCs w:val="22"/>
        </w:rPr>
      </w:pPr>
      <w:r w:rsidRPr="00FC5702">
        <w:rPr>
          <w:rFonts w:cs="Times New Roman"/>
          <w:b w:val="0"/>
          <w:bCs w:val="0"/>
          <w:iCs w:val="0"/>
          <w:color w:val="000000" w:themeColor="text1"/>
          <w:sz w:val="22"/>
          <w:szCs w:val="22"/>
        </w:rPr>
        <w:t xml:space="preserve">All </w:t>
      </w:r>
      <w:r>
        <w:rPr>
          <w:rFonts w:cs="Times New Roman"/>
          <w:b w:val="0"/>
          <w:bCs w:val="0"/>
          <w:iCs w:val="0"/>
          <w:color w:val="000000" w:themeColor="text1"/>
          <w:sz w:val="22"/>
          <w:szCs w:val="22"/>
        </w:rPr>
        <w:t>i</w:t>
      </w:r>
      <w:r w:rsidRPr="00FC5702">
        <w:rPr>
          <w:rFonts w:cs="Times New Roman"/>
          <w:b w:val="0"/>
          <w:bCs w:val="0"/>
          <w:iCs w:val="0"/>
          <w:color w:val="000000" w:themeColor="text1"/>
          <w:sz w:val="22"/>
          <w:szCs w:val="22"/>
        </w:rPr>
        <w:t xml:space="preserve">tems </w:t>
      </w:r>
      <w:r>
        <w:rPr>
          <w:rFonts w:cs="Times New Roman"/>
          <w:b w:val="0"/>
          <w:bCs w:val="0"/>
          <w:iCs w:val="0"/>
          <w:color w:val="000000" w:themeColor="text1"/>
          <w:sz w:val="22"/>
          <w:szCs w:val="22"/>
        </w:rPr>
        <w:t>are</w:t>
      </w:r>
      <w:r w:rsidRPr="00FC5702">
        <w:rPr>
          <w:rFonts w:cs="Times New Roman"/>
          <w:b w:val="0"/>
          <w:bCs w:val="0"/>
          <w:iCs w:val="0"/>
          <w:color w:val="000000" w:themeColor="text1"/>
          <w:sz w:val="22"/>
          <w:szCs w:val="22"/>
        </w:rPr>
        <w:t xml:space="preserve"> subject to MBS compliance processes and activities, including random and targeted audits which may require a provider to submit evidence about the services claimed.</w:t>
      </w:r>
    </w:p>
    <w:p w14:paraId="3C63E237" w14:textId="4EE69A49"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3C38AD4D" w14:textId="77777777" w:rsidR="00363E32" w:rsidRDefault="00363E32" w:rsidP="00064168">
      <w:pPr>
        <w:rPr>
          <w:szCs w:val="22"/>
        </w:rPr>
      </w:pPr>
    </w:p>
    <w:p w14:paraId="4218AA15" w14:textId="77777777" w:rsidR="00363E32" w:rsidRDefault="00363E32" w:rsidP="00064168">
      <w:pPr>
        <w:rPr>
          <w:szCs w:val="22"/>
        </w:rPr>
      </w:pPr>
    </w:p>
    <w:p w14:paraId="423A5829" w14:textId="77777777" w:rsidR="00363E32" w:rsidRDefault="00363E32" w:rsidP="00064168">
      <w:pPr>
        <w:rPr>
          <w:szCs w:val="22"/>
        </w:rPr>
      </w:pPr>
    </w:p>
    <w:p w14:paraId="6BE20F5F" w14:textId="77777777" w:rsidR="00363E32" w:rsidRDefault="00363E32" w:rsidP="00064168">
      <w:pPr>
        <w:rPr>
          <w:szCs w:val="22"/>
        </w:rPr>
      </w:pPr>
    </w:p>
    <w:p w14:paraId="014C1D6F" w14:textId="77777777" w:rsidR="00363E32" w:rsidRDefault="00363E32" w:rsidP="00064168">
      <w:pPr>
        <w:rPr>
          <w:szCs w:val="22"/>
        </w:rPr>
      </w:pPr>
    </w:p>
    <w:p w14:paraId="0D44503C" w14:textId="77777777" w:rsidR="00FB515B" w:rsidRDefault="00FB515B" w:rsidP="00BE3ED5">
      <w:pPr>
        <w:pStyle w:val="Heading2"/>
      </w:pPr>
    </w:p>
    <w:p w14:paraId="6D6EB19D" w14:textId="60ADF95D" w:rsidR="00BE3ED5" w:rsidRDefault="00C54A56" w:rsidP="00BE3ED5">
      <w:pPr>
        <w:pStyle w:val="Heading2"/>
      </w:pPr>
      <w:r>
        <w:t>New</w:t>
      </w:r>
      <w:r w:rsidR="00BE3ED5" w:rsidRPr="007A32E7">
        <w:t xml:space="preserve"> item descriptors (to take effect </w:t>
      </w:r>
      <w:r w:rsidR="00FC5702">
        <w:t>1 March 2024</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CD62FF9" w:rsidR="00BE3ED5" w:rsidRDefault="008437CA" w:rsidP="000F29A4">
            <w:pPr>
              <w:rPr>
                <w:b w:val="0"/>
                <w:bCs w:val="0"/>
                <w:lang w:eastAsia="en-AU"/>
              </w:rPr>
            </w:pPr>
            <w:bookmarkStart w:id="4" w:name="_Hlk118987208"/>
            <w:r>
              <w:rPr>
                <w:lang w:eastAsia="en-AU"/>
              </w:rPr>
              <w:t>Category</w:t>
            </w:r>
            <w:r w:rsidR="00FC5702">
              <w:rPr>
                <w:lang w:eastAsia="en-AU"/>
              </w:rPr>
              <w:t xml:space="preserve"> 3 – Therapeutic Procedures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15F59B2" w:rsidR="00BE3ED5" w:rsidRDefault="008437CA" w:rsidP="000F29A4">
            <w:pPr>
              <w:rPr>
                <w:b w:val="0"/>
                <w:bCs w:val="0"/>
                <w:lang w:eastAsia="en-AU"/>
              </w:rPr>
            </w:pPr>
            <w:r>
              <w:rPr>
                <w:lang w:eastAsia="en-AU"/>
              </w:rPr>
              <w:t>Group</w:t>
            </w:r>
            <w:r w:rsidR="00FC5702">
              <w:rPr>
                <w:lang w:eastAsia="en-AU"/>
              </w:rPr>
              <w:t xml:space="preserve"> T8 – Surgical Operations</w:t>
            </w:r>
          </w:p>
        </w:tc>
      </w:tr>
      <w:tr w:rsidR="00642F20" w14:paraId="3DDFF680" w14:textId="77777777" w:rsidTr="006E7D4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1EF85271" w:rsidR="00642F20" w:rsidRPr="00642F20" w:rsidRDefault="00642F20" w:rsidP="00642F20">
            <w:pPr>
              <w:pStyle w:val="Tabletextleft"/>
              <w:rPr>
                <w:b/>
              </w:rPr>
            </w:pPr>
            <w:r w:rsidRPr="00642F20">
              <w:rPr>
                <w:b/>
              </w:rPr>
              <w:t>Subgroup</w:t>
            </w:r>
            <w:r w:rsidR="00FC5702">
              <w:rPr>
                <w:b/>
              </w:rPr>
              <w:t xml:space="preserve"> 1 - General</w:t>
            </w:r>
          </w:p>
        </w:tc>
      </w:tr>
      <w:tr w:rsidR="00642F20" w14:paraId="25FF7AAD"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ADD738F" w14:textId="4A85A428" w:rsidR="003F40AD" w:rsidRPr="007A6FC8" w:rsidRDefault="003F40AD" w:rsidP="0059119A">
            <w:pPr>
              <w:pStyle w:val="Tablea"/>
              <w:rPr>
                <w:rFonts w:ascii="Arial" w:hAnsi="Arial"/>
                <w:color w:val="000000" w:themeColor="text1"/>
                <w:sz w:val="22"/>
                <w:szCs w:val="22"/>
                <w:lang w:eastAsia="en-US"/>
              </w:rPr>
            </w:pPr>
            <w:r w:rsidRPr="007A6FC8">
              <w:rPr>
                <w:rFonts w:ascii="Arial" w:hAnsi="Arial"/>
                <w:color w:val="000000" w:themeColor="text1"/>
                <w:sz w:val="22"/>
                <w:szCs w:val="22"/>
                <w:lang w:eastAsia="en-US"/>
              </w:rPr>
              <w:t>30664</w:t>
            </w:r>
          </w:p>
          <w:p w14:paraId="042EB11F" w14:textId="77777777" w:rsidR="007A6FC8" w:rsidRPr="0059119A" w:rsidRDefault="007A6FC8" w:rsidP="0059119A">
            <w:pPr>
              <w:pStyle w:val="Tablea"/>
              <w:rPr>
                <w:rFonts w:ascii="Arial" w:hAnsi="Arial"/>
                <w:b w:val="0"/>
                <w:bCs w:val="0"/>
                <w:color w:val="000000" w:themeColor="text1"/>
                <w:sz w:val="22"/>
                <w:szCs w:val="22"/>
                <w:lang w:eastAsia="en-US"/>
              </w:rPr>
            </w:pPr>
          </w:p>
          <w:p w14:paraId="770ED699" w14:textId="0C64EB39" w:rsidR="0059119A" w:rsidRPr="0059119A" w:rsidRDefault="0059119A" w:rsidP="00FF72A9">
            <w:pPr>
              <w:pStyle w:val="Tabletext0"/>
              <w:rPr>
                <w:rFonts w:ascii="Arial" w:hAnsi="Arial"/>
                <w:b w:val="0"/>
                <w:bCs w:val="0"/>
                <w:color w:val="000000" w:themeColor="text1"/>
                <w:sz w:val="22"/>
                <w:szCs w:val="22"/>
                <w:lang w:eastAsia="en-US"/>
              </w:rPr>
            </w:pPr>
            <w:r w:rsidRPr="0059119A">
              <w:rPr>
                <w:rFonts w:ascii="Arial" w:hAnsi="Arial"/>
                <w:b w:val="0"/>
                <w:bCs w:val="0"/>
                <w:color w:val="000000" w:themeColor="text1"/>
                <w:sz w:val="22"/>
                <w:szCs w:val="22"/>
                <w:lang w:eastAsia="en-US"/>
              </w:rPr>
              <w:t>Endoscopic retrograde cholangiopancreatography (ERCP), with single operator, single use</w:t>
            </w:r>
            <w:r>
              <w:rPr>
                <w:rFonts w:ascii="Arial" w:hAnsi="Arial"/>
                <w:b w:val="0"/>
                <w:bCs w:val="0"/>
                <w:color w:val="000000" w:themeColor="text1"/>
                <w:sz w:val="22"/>
                <w:szCs w:val="22"/>
                <w:lang w:eastAsia="en-US"/>
              </w:rPr>
              <w:t xml:space="preserve"> </w:t>
            </w:r>
            <w:r w:rsidRPr="0059119A">
              <w:rPr>
                <w:rFonts w:ascii="Arial" w:hAnsi="Arial"/>
                <w:b w:val="0"/>
                <w:bCs w:val="0"/>
                <w:color w:val="000000" w:themeColor="text1"/>
                <w:sz w:val="22"/>
                <w:szCs w:val="22"/>
                <w:lang w:eastAsia="en-US"/>
              </w:rPr>
              <w:t xml:space="preserve">peroral </w:t>
            </w:r>
            <w:proofErr w:type="spellStart"/>
            <w:r w:rsidRPr="0059119A">
              <w:rPr>
                <w:rFonts w:ascii="Arial" w:hAnsi="Arial"/>
                <w:b w:val="0"/>
                <w:bCs w:val="0"/>
                <w:color w:val="000000" w:themeColor="text1"/>
                <w:sz w:val="22"/>
                <w:szCs w:val="22"/>
                <w:lang w:eastAsia="en-US"/>
              </w:rPr>
              <w:t>cholangiopancreatoscopy</w:t>
            </w:r>
            <w:proofErr w:type="spellEnd"/>
            <w:r w:rsidRPr="0059119A">
              <w:rPr>
                <w:rFonts w:ascii="Arial" w:hAnsi="Arial"/>
                <w:b w:val="0"/>
                <w:bCs w:val="0"/>
                <w:color w:val="000000" w:themeColor="text1"/>
                <w:sz w:val="22"/>
                <w:szCs w:val="22"/>
                <w:lang w:eastAsia="en-US"/>
              </w:rPr>
              <w:t xml:space="preserve"> (POCPS) and biopsy, for the diagnosis of biliary strictures for a patient for whom:</w:t>
            </w:r>
          </w:p>
          <w:p w14:paraId="0F4BB24E" w14:textId="77777777" w:rsidR="0059119A" w:rsidRPr="0059119A" w:rsidRDefault="0059119A" w:rsidP="0059119A">
            <w:pPr>
              <w:pStyle w:val="Tablea"/>
              <w:rPr>
                <w:rFonts w:ascii="Arial" w:hAnsi="Arial"/>
                <w:b w:val="0"/>
                <w:bCs w:val="0"/>
                <w:color w:val="000000" w:themeColor="text1"/>
                <w:sz w:val="22"/>
                <w:szCs w:val="22"/>
                <w:lang w:eastAsia="en-US"/>
              </w:rPr>
            </w:pPr>
            <w:r w:rsidRPr="0059119A">
              <w:rPr>
                <w:rFonts w:ascii="Arial" w:hAnsi="Arial"/>
                <w:b w:val="0"/>
                <w:bCs w:val="0"/>
                <w:color w:val="000000" w:themeColor="text1"/>
                <w:sz w:val="22"/>
                <w:szCs w:val="22"/>
                <w:lang w:eastAsia="en-US"/>
              </w:rPr>
              <w:t>(a) a previous ERCP service has been provided; and</w:t>
            </w:r>
          </w:p>
          <w:p w14:paraId="66042496" w14:textId="77777777" w:rsidR="0059119A" w:rsidRDefault="0059119A" w:rsidP="0059119A">
            <w:pPr>
              <w:pStyle w:val="Tablea"/>
              <w:rPr>
                <w:rFonts w:ascii="Arial" w:hAnsi="Arial"/>
                <w:color w:val="000000" w:themeColor="text1"/>
                <w:sz w:val="22"/>
                <w:szCs w:val="22"/>
                <w:lang w:eastAsia="en-US"/>
              </w:rPr>
            </w:pPr>
            <w:r w:rsidRPr="0059119A">
              <w:rPr>
                <w:rFonts w:ascii="Arial" w:hAnsi="Arial"/>
                <w:b w:val="0"/>
                <w:bCs w:val="0"/>
                <w:color w:val="000000" w:themeColor="text1"/>
                <w:sz w:val="22"/>
                <w:szCs w:val="22"/>
                <w:lang w:eastAsia="en-US"/>
              </w:rPr>
              <w:t>(b) results from guided brush cytology or intraductal biopsy (or both) are indeterminate</w:t>
            </w:r>
          </w:p>
          <w:p w14:paraId="56C0FC08" w14:textId="77777777" w:rsidR="007A6FC8" w:rsidRPr="0059119A" w:rsidRDefault="007A6FC8" w:rsidP="0059119A">
            <w:pPr>
              <w:pStyle w:val="Tablea"/>
              <w:rPr>
                <w:rFonts w:ascii="Arial" w:hAnsi="Arial"/>
                <w:b w:val="0"/>
                <w:bCs w:val="0"/>
                <w:color w:val="000000" w:themeColor="text1"/>
                <w:sz w:val="22"/>
                <w:szCs w:val="22"/>
                <w:lang w:eastAsia="en-US"/>
              </w:rPr>
            </w:pPr>
          </w:p>
          <w:p w14:paraId="47FC8EEB" w14:textId="0DB7156F" w:rsidR="0059119A" w:rsidRPr="0059119A" w:rsidRDefault="0059119A" w:rsidP="007A6FC8">
            <w:pPr>
              <w:pStyle w:val="Tabletext0"/>
              <w:rPr>
                <w:rFonts w:ascii="Arial" w:hAnsi="Arial"/>
                <w:b w:val="0"/>
                <w:bCs w:val="0"/>
                <w:color w:val="000000" w:themeColor="text1"/>
                <w:sz w:val="22"/>
                <w:szCs w:val="22"/>
                <w:lang w:eastAsia="en-US"/>
              </w:rPr>
            </w:pPr>
            <w:r w:rsidRPr="0059119A">
              <w:rPr>
                <w:rFonts w:ascii="Arial" w:hAnsi="Arial"/>
                <w:b w:val="0"/>
                <w:bCs w:val="0"/>
                <w:color w:val="000000" w:themeColor="text1"/>
                <w:sz w:val="22"/>
                <w:szCs w:val="22"/>
                <w:lang w:eastAsia="en-US"/>
              </w:rPr>
              <w:t xml:space="preserve">Applicable not more than 2 times in a </w:t>
            </w:r>
            <w:proofErr w:type="gramStart"/>
            <w:r w:rsidRPr="0059119A">
              <w:rPr>
                <w:rFonts w:ascii="Arial" w:hAnsi="Arial"/>
                <w:b w:val="0"/>
                <w:bCs w:val="0"/>
                <w:color w:val="000000" w:themeColor="text1"/>
                <w:sz w:val="22"/>
                <w:szCs w:val="22"/>
                <w:lang w:eastAsia="en-US"/>
              </w:rPr>
              <w:t>12 month</w:t>
            </w:r>
            <w:proofErr w:type="gramEnd"/>
            <w:r w:rsidRPr="0059119A">
              <w:rPr>
                <w:rFonts w:ascii="Arial" w:hAnsi="Arial"/>
                <w:b w:val="0"/>
                <w:bCs w:val="0"/>
                <w:color w:val="000000" w:themeColor="text1"/>
                <w:sz w:val="22"/>
                <w:szCs w:val="22"/>
                <w:lang w:eastAsia="en-US"/>
              </w:rPr>
              <w:t xml:space="preserve"> period, or not more than 3 times in a 12</w:t>
            </w:r>
            <w:r w:rsidR="00525E48">
              <w:rPr>
                <w:rFonts w:ascii="Arial" w:hAnsi="Arial"/>
                <w:b w:val="0"/>
                <w:bCs w:val="0"/>
                <w:color w:val="000000" w:themeColor="text1"/>
                <w:sz w:val="22"/>
                <w:szCs w:val="22"/>
                <w:lang w:eastAsia="en-US"/>
              </w:rPr>
              <w:t xml:space="preserve"> </w:t>
            </w:r>
            <w:r w:rsidRPr="0059119A">
              <w:rPr>
                <w:rFonts w:ascii="Arial" w:hAnsi="Arial"/>
                <w:b w:val="0"/>
                <w:bCs w:val="0"/>
                <w:color w:val="000000" w:themeColor="text1"/>
                <w:sz w:val="22"/>
                <w:szCs w:val="22"/>
                <w:lang w:eastAsia="en-US"/>
              </w:rPr>
              <w:t>month period if the patient has been diagnosed with primary sclerosing cholangitis (PSC)</w:t>
            </w:r>
          </w:p>
          <w:p w14:paraId="199681CA" w14:textId="77777777" w:rsidR="00D94B54" w:rsidRPr="0059119A" w:rsidRDefault="00D94B54" w:rsidP="007A6FC8">
            <w:pPr>
              <w:pStyle w:val="Tabletext0"/>
              <w:rPr>
                <w:rFonts w:ascii="Arial" w:hAnsi="Arial"/>
                <w:b w:val="0"/>
                <w:bCs w:val="0"/>
                <w:color w:val="000000" w:themeColor="text1"/>
                <w:sz w:val="22"/>
                <w:szCs w:val="22"/>
                <w:lang w:eastAsia="en-US"/>
              </w:rPr>
            </w:pPr>
          </w:p>
          <w:p w14:paraId="322476B7" w14:textId="77777777" w:rsidR="0008296C" w:rsidRDefault="007E5D29" w:rsidP="0059119A">
            <w:pPr>
              <w:pStyle w:val="Tablea"/>
              <w:rPr>
                <w:rFonts w:ascii="Arial" w:hAnsi="Arial"/>
                <w:color w:val="000000" w:themeColor="text1"/>
                <w:sz w:val="22"/>
                <w:szCs w:val="22"/>
                <w:lang w:eastAsia="en-US"/>
              </w:rPr>
            </w:pPr>
            <w:r w:rsidRPr="0059119A">
              <w:rPr>
                <w:rFonts w:ascii="Arial" w:hAnsi="Arial"/>
                <w:b w:val="0"/>
                <w:bCs w:val="0"/>
                <w:color w:val="000000" w:themeColor="text1"/>
                <w:sz w:val="22"/>
                <w:szCs w:val="22"/>
                <w:lang w:eastAsia="en-US"/>
              </w:rPr>
              <w:t>(H) (</w:t>
            </w:r>
            <w:proofErr w:type="spellStart"/>
            <w:r w:rsidRPr="0059119A">
              <w:rPr>
                <w:rFonts w:ascii="Arial" w:hAnsi="Arial"/>
                <w:b w:val="0"/>
                <w:bCs w:val="0"/>
                <w:color w:val="000000" w:themeColor="text1"/>
                <w:sz w:val="22"/>
                <w:szCs w:val="22"/>
                <w:lang w:eastAsia="en-US"/>
              </w:rPr>
              <w:t>Anaes</w:t>
            </w:r>
            <w:proofErr w:type="spellEnd"/>
            <w:r w:rsidRPr="0059119A">
              <w:rPr>
                <w:rFonts w:ascii="Arial" w:hAnsi="Arial"/>
                <w:b w:val="0"/>
                <w:bCs w:val="0"/>
                <w:color w:val="000000" w:themeColor="text1"/>
                <w:sz w:val="22"/>
                <w:szCs w:val="22"/>
                <w:lang w:eastAsia="en-US"/>
              </w:rPr>
              <w:t>.) (Assist.)</w:t>
            </w:r>
          </w:p>
          <w:p w14:paraId="452B22FD" w14:textId="77777777" w:rsidR="0008296C" w:rsidRDefault="0008296C" w:rsidP="0059119A">
            <w:pPr>
              <w:pStyle w:val="Tablea"/>
              <w:rPr>
                <w:rFonts w:ascii="Arial" w:hAnsi="Arial"/>
                <w:color w:val="000000" w:themeColor="text1"/>
                <w:sz w:val="22"/>
                <w:szCs w:val="22"/>
                <w:lang w:eastAsia="en-US"/>
              </w:rPr>
            </w:pPr>
          </w:p>
          <w:p w14:paraId="22EA25C5" w14:textId="49962C95" w:rsidR="0008296C" w:rsidRPr="00FC5702" w:rsidRDefault="0008296C" w:rsidP="0008296C">
            <w:pPr>
              <w:rPr>
                <w:rFonts w:cs="Arial"/>
                <w:b w:val="0"/>
                <w:bCs w:val="0"/>
                <w:szCs w:val="22"/>
              </w:rPr>
            </w:pPr>
            <w:r w:rsidRPr="00DF33C3">
              <w:rPr>
                <w:rFonts w:cs="Arial"/>
                <w:szCs w:val="22"/>
              </w:rPr>
              <w:t>Schedule Fee:</w:t>
            </w:r>
            <w:r>
              <w:rPr>
                <w:rFonts w:cs="Arial"/>
                <w:b w:val="0"/>
                <w:bCs w:val="0"/>
                <w:szCs w:val="22"/>
              </w:rPr>
              <w:t xml:space="preserve"> </w:t>
            </w:r>
            <w:r>
              <w:rPr>
                <w:rFonts w:cs="Arial"/>
                <w:szCs w:val="22"/>
              </w:rPr>
              <w:t xml:space="preserve">$644.40 </w:t>
            </w:r>
            <w:r>
              <w:t>Benefit: 75% = $</w:t>
            </w:r>
            <w:r w:rsidRPr="0008296C">
              <w:t>483.3</w:t>
            </w:r>
            <w:r>
              <w:t xml:space="preserve">0  </w:t>
            </w:r>
          </w:p>
          <w:p w14:paraId="5A8943A3" w14:textId="3BEB1902" w:rsidR="007E5D29" w:rsidRPr="0059119A" w:rsidRDefault="00BD2175" w:rsidP="0059119A">
            <w:pPr>
              <w:pStyle w:val="Tablea"/>
              <w:rPr>
                <w:rFonts w:ascii="Arial" w:hAnsi="Arial"/>
                <w:b w:val="0"/>
                <w:bCs w:val="0"/>
                <w:color w:val="000000" w:themeColor="text1"/>
                <w:sz w:val="22"/>
                <w:szCs w:val="22"/>
                <w:lang w:eastAsia="en-US"/>
              </w:rPr>
            </w:pPr>
            <w:r w:rsidRPr="0059119A">
              <w:rPr>
                <w:rFonts w:ascii="Arial" w:hAnsi="Arial"/>
                <w:b w:val="0"/>
                <w:bCs w:val="0"/>
                <w:color w:val="000000" w:themeColor="text1"/>
                <w:sz w:val="22"/>
                <w:szCs w:val="22"/>
                <w:lang w:eastAsia="en-US"/>
              </w:rPr>
              <w:br/>
            </w:r>
          </w:p>
          <w:p w14:paraId="3794883D" w14:textId="116C71EC" w:rsidR="00642F20" w:rsidRPr="0059119A" w:rsidRDefault="00642F20" w:rsidP="0059119A">
            <w:pPr>
              <w:pStyle w:val="Tablea"/>
              <w:rPr>
                <w:rFonts w:ascii="Arial" w:hAnsi="Arial"/>
                <w:b w:val="0"/>
                <w:bCs w:val="0"/>
                <w:color w:val="000000" w:themeColor="text1"/>
                <w:sz w:val="22"/>
                <w:szCs w:val="22"/>
                <w:lang w:eastAsia="en-US"/>
              </w:rPr>
            </w:pPr>
            <w:r w:rsidRPr="0059119A">
              <w:rPr>
                <w:rFonts w:ascii="Arial" w:hAnsi="Arial"/>
                <w:b w:val="0"/>
                <w:bCs w:val="0"/>
                <w:color w:val="000000" w:themeColor="text1"/>
                <w:sz w:val="22"/>
                <w:szCs w:val="22"/>
                <w:lang w:eastAsia="en-US"/>
              </w:rPr>
              <w:t>Private Health Insurance Classification:</w:t>
            </w:r>
          </w:p>
          <w:p w14:paraId="529ABE5B" w14:textId="77777777" w:rsidR="00AB198B" w:rsidRPr="0059119A" w:rsidRDefault="00642F20" w:rsidP="0059119A">
            <w:pPr>
              <w:pStyle w:val="Tablea"/>
              <w:rPr>
                <w:rFonts w:ascii="Arial" w:hAnsi="Arial"/>
                <w:b w:val="0"/>
                <w:bCs w:val="0"/>
                <w:color w:val="000000" w:themeColor="text1"/>
                <w:sz w:val="22"/>
                <w:szCs w:val="22"/>
                <w:lang w:eastAsia="en-US"/>
              </w:rPr>
            </w:pPr>
            <w:r w:rsidRPr="0059119A">
              <w:rPr>
                <w:rFonts w:ascii="Arial" w:hAnsi="Arial"/>
                <w:b w:val="0"/>
                <w:bCs w:val="0"/>
                <w:color w:val="000000" w:themeColor="text1"/>
                <w:sz w:val="22"/>
                <w:szCs w:val="22"/>
                <w:lang w:eastAsia="en-US"/>
              </w:rPr>
              <w:t xml:space="preserve">Clinical category: </w:t>
            </w:r>
            <w:r w:rsidR="003F40AD" w:rsidRPr="0059119A">
              <w:rPr>
                <w:rFonts w:ascii="Arial" w:hAnsi="Arial"/>
                <w:b w:val="0"/>
                <w:bCs w:val="0"/>
                <w:color w:val="000000" w:themeColor="text1"/>
                <w:sz w:val="22"/>
                <w:szCs w:val="22"/>
                <w:lang w:eastAsia="en-US"/>
              </w:rPr>
              <w:t>Gastrointestinal endoscopy</w:t>
            </w:r>
          </w:p>
          <w:p w14:paraId="52807650" w14:textId="42DDD0A9" w:rsidR="00330FDB" w:rsidRDefault="00642F20" w:rsidP="0059119A">
            <w:pPr>
              <w:pStyle w:val="Tablea"/>
              <w:rPr>
                <w:rFonts w:ascii="Arial" w:hAnsi="Arial"/>
                <w:color w:val="000000" w:themeColor="text1"/>
                <w:sz w:val="22"/>
                <w:szCs w:val="22"/>
                <w:lang w:eastAsia="en-US"/>
              </w:rPr>
            </w:pPr>
            <w:r w:rsidRPr="0059119A">
              <w:rPr>
                <w:rFonts w:ascii="Arial" w:hAnsi="Arial"/>
                <w:b w:val="0"/>
                <w:bCs w:val="0"/>
                <w:color w:val="000000" w:themeColor="text1"/>
                <w:sz w:val="22"/>
                <w:szCs w:val="22"/>
                <w:lang w:eastAsia="en-US"/>
              </w:rPr>
              <w:t xml:space="preserve">Procedure type: </w:t>
            </w:r>
            <w:r w:rsidR="00330FDB" w:rsidRPr="0059119A">
              <w:rPr>
                <w:rFonts w:ascii="Arial" w:hAnsi="Arial"/>
                <w:b w:val="0"/>
                <w:bCs w:val="0"/>
                <w:color w:val="000000" w:themeColor="text1"/>
                <w:sz w:val="22"/>
                <w:szCs w:val="22"/>
                <w:lang w:eastAsia="en-US"/>
              </w:rPr>
              <w:t>Type A Surgical</w:t>
            </w:r>
          </w:p>
          <w:p w14:paraId="43DFAB4E" w14:textId="77777777" w:rsidR="00340D6C" w:rsidRPr="0059119A" w:rsidRDefault="00340D6C" w:rsidP="0059119A">
            <w:pPr>
              <w:pStyle w:val="Tablea"/>
              <w:rPr>
                <w:rFonts w:ascii="Arial" w:hAnsi="Arial"/>
                <w:b w:val="0"/>
                <w:bCs w:val="0"/>
                <w:color w:val="000000" w:themeColor="text1"/>
                <w:sz w:val="22"/>
                <w:szCs w:val="22"/>
                <w:lang w:eastAsia="en-US"/>
              </w:rPr>
            </w:pPr>
          </w:p>
          <w:p w14:paraId="4AC6081F" w14:textId="77777777" w:rsidR="00C73CA6" w:rsidRPr="0059119A" w:rsidRDefault="00C73CA6" w:rsidP="0059119A">
            <w:pPr>
              <w:pStyle w:val="Tablea"/>
              <w:rPr>
                <w:rFonts w:ascii="Arial" w:hAnsi="Arial"/>
                <w:b w:val="0"/>
                <w:bCs w:val="0"/>
                <w:color w:val="000000" w:themeColor="text1"/>
                <w:sz w:val="22"/>
                <w:szCs w:val="22"/>
                <w:lang w:eastAsia="en-US"/>
              </w:rPr>
            </w:pPr>
          </w:p>
          <w:p w14:paraId="2BDF063F" w14:textId="2547B979" w:rsidR="00642F20" w:rsidRPr="0059119A" w:rsidRDefault="00642F20" w:rsidP="0059119A">
            <w:pPr>
              <w:pStyle w:val="Tablea"/>
              <w:rPr>
                <w:rFonts w:ascii="Arial" w:hAnsi="Arial"/>
                <w:b w:val="0"/>
                <w:bCs w:val="0"/>
                <w:color w:val="000000" w:themeColor="text1"/>
                <w:sz w:val="22"/>
                <w:szCs w:val="22"/>
                <w:lang w:eastAsia="en-US"/>
              </w:rPr>
            </w:pPr>
          </w:p>
        </w:tc>
      </w:tr>
      <w:tr w:rsidR="00652ED1" w14:paraId="5817A77D" w14:textId="77777777" w:rsidTr="005E0409">
        <w:tc>
          <w:tcPr>
            <w:cnfStyle w:val="001000000000" w:firstRow="0" w:lastRow="0" w:firstColumn="1" w:lastColumn="0" w:oddVBand="0" w:evenVBand="0" w:oddHBand="0" w:evenHBand="0" w:firstRowFirstColumn="0" w:firstRowLastColumn="0" w:lastRowFirstColumn="0" w:lastRowLastColumn="0"/>
            <w:tcW w:w="9060" w:type="dxa"/>
          </w:tcPr>
          <w:p w14:paraId="664E7907" w14:textId="77777777" w:rsidR="00652ED1" w:rsidRPr="00644135" w:rsidRDefault="00E53933" w:rsidP="00644135">
            <w:pPr>
              <w:pStyle w:val="Tablea"/>
              <w:rPr>
                <w:rFonts w:ascii="Arial" w:hAnsi="Arial"/>
                <w:color w:val="000000" w:themeColor="text1"/>
                <w:sz w:val="22"/>
                <w:szCs w:val="22"/>
                <w:lang w:eastAsia="en-US"/>
              </w:rPr>
            </w:pPr>
            <w:r w:rsidRPr="00644135">
              <w:rPr>
                <w:rFonts w:ascii="Arial" w:hAnsi="Arial"/>
                <w:color w:val="000000" w:themeColor="text1"/>
                <w:sz w:val="22"/>
                <w:szCs w:val="22"/>
                <w:lang w:eastAsia="en-US"/>
              </w:rPr>
              <w:t>30665</w:t>
            </w:r>
          </w:p>
          <w:p w14:paraId="0E526799" w14:textId="77777777" w:rsidR="0039255A" w:rsidRDefault="0039255A" w:rsidP="00644135">
            <w:pPr>
              <w:pStyle w:val="Tablea"/>
              <w:rPr>
                <w:rFonts w:ascii="Arial" w:hAnsi="Arial"/>
                <w:color w:val="000000" w:themeColor="text1"/>
                <w:sz w:val="22"/>
                <w:szCs w:val="22"/>
                <w:lang w:eastAsia="en-US"/>
              </w:rPr>
            </w:pPr>
          </w:p>
          <w:p w14:paraId="657CC2E1" w14:textId="2E0C223D" w:rsidR="00FF72A9" w:rsidRPr="00CD5B07" w:rsidRDefault="00CD5B07" w:rsidP="00CD5B07">
            <w:pPr>
              <w:pStyle w:val="Tabletext0"/>
              <w:rPr>
                <w:rFonts w:ascii="Arial" w:hAnsi="Arial"/>
                <w:color w:val="000000" w:themeColor="text1"/>
                <w:sz w:val="22"/>
                <w:szCs w:val="22"/>
                <w:lang w:eastAsia="en-US"/>
              </w:rPr>
            </w:pPr>
            <w:r w:rsidRPr="00CD5B07">
              <w:rPr>
                <w:rFonts w:ascii="Arial" w:hAnsi="Arial"/>
                <w:b w:val="0"/>
                <w:bCs w:val="0"/>
                <w:color w:val="000000" w:themeColor="text1"/>
                <w:sz w:val="22"/>
                <w:szCs w:val="22"/>
                <w:lang w:eastAsia="en-US"/>
              </w:rPr>
              <w:t xml:space="preserve">Endoscopic retrograde cholangiopancreatography (ERCP), with single operator, single use peroral </w:t>
            </w:r>
            <w:proofErr w:type="spellStart"/>
            <w:r w:rsidRPr="00CD5B07">
              <w:rPr>
                <w:rFonts w:ascii="Arial" w:hAnsi="Arial"/>
                <w:b w:val="0"/>
                <w:bCs w:val="0"/>
                <w:color w:val="000000" w:themeColor="text1"/>
                <w:sz w:val="22"/>
                <w:szCs w:val="22"/>
                <w:lang w:eastAsia="en-US"/>
              </w:rPr>
              <w:t>cholangiopancreatoscopy</w:t>
            </w:r>
            <w:proofErr w:type="spellEnd"/>
            <w:r w:rsidRPr="00CD5B07">
              <w:rPr>
                <w:rFonts w:ascii="Arial" w:hAnsi="Arial"/>
                <w:b w:val="0"/>
                <w:bCs w:val="0"/>
                <w:color w:val="000000" w:themeColor="text1"/>
                <w:sz w:val="22"/>
                <w:szCs w:val="22"/>
                <w:lang w:eastAsia="en-US"/>
              </w:rPr>
              <w:t xml:space="preserve"> (POCPS) and electrohydraulic or laser lithotripsy for the removal of biliary stones that are:</w:t>
            </w:r>
          </w:p>
          <w:p w14:paraId="4ECA3810" w14:textId="77777777" w:rsidR="00CD5B07" w:rsidRPr="00CD5B07" w:rsidRDefault="00CD5B07" w:rsidP="00CD5B07">
            <w:pPr>
              <w:pStyle w:val="Tabletext0"/>
              <w:rPr>
                <w:rFonts w:ascii="Arial" w:hAnsi="Arial"/>
                <w:b w:val="0"/>
                <w:bCs w:val="0"/>
                <w:color w:val="000000" w:themeColor="text1"/>
                <w:sz w:val="22"/>
                <w:szCs w:val="22"/>
                <w:lang w:eastAsia="en-US"/>
              </w:rPr>
            </w:pPr>
            <w:r w:rsidRPr="00CD5B07">
              <w:rPr>
                <w:rFonts w:ascii="Arial" w:hAnsi="Arial"/>
                <w:b w:val="0"/>
                <w:bCs w:val="0"/>
                <w:color w:val="000000" w:themeColor="text1"/>
                <w:sz w:val="22"/>
                <w:szCs w:val="22"/>
                <w:lang w:eastAsia="en-US"/>
              </w:rPr>
              <w:t>(a) greater than 10mm in diameter; or</w:t>
            </w:r>
          </w:p>
          <w:p w14:paraId="3ED58DC3" w14:textId="77777777" w:rsidR="00CD5B07" w:rsidRPr="00CD5B07" w:rsidRDefault="00CD5B07" w:rsidP="00CD5B07">
            <w:pPr>
              <w:pStyle w:val="Tabletext0"/>
              <w:rPr>
                <w:rFonts w:ascii="Arial" w:hAnsi="Arial"/>
                <w:b w:val="0"/>
                <w:bCs w:val="0"/>
                <w:color w:val="000000" w:themeColor="text1"/>
                <w:sz w:val="22"/>
                <w:szCs w:val="22"/>
                <w:lang w:eastAsia="en-US"/>
              </w:rPr>
            </w:pPr>
            <w:r w:rsidRPr="00CD5B07">
              <w:rPr>
                <w:rFonts w:ascii="Arial" w:hAnsi="Arial"/>
                <w:b w:val="0"/>
                <w:bCs w:val="0"/>
                <w:color w:val="000000" w:themeColor="text1"/>
                <w:sz w:val="22"/>
                <w:szCs w:val="22"/>
                <w:lang w:eastAsia="en-US"/>
              </w:rPr>
              <w:t xml:space="preserve">(b) proximal to a </w:t>
            </w:r>
            <w:proofErr w:type="gramStart"/>
            <w:r w:rsidRPr="00CD5B07">
              <w:rPr>
                <w:rFonts w:ascii="Arial" w:hAnsi="Arial"/>
                <w:b w:val="0"/>
                <w:bCs w:val="0"/>
                <w:color w:val="000000" w:themeColor="text1"/>
                <w:sz w:val="22"/>
                <w:szCs w:val="22"/>
                <w:lang w:eastAsia="en-US"/>
              </w:rPr>
              <w:t>stricture;</w:t>
            </w:r>
            <w:proofErr w:type="gramEnd"/>
          </w:p>
          <w:p w14:paraId="21AC446A" w14:textId="77777777" w:rsidR="00CD5B07" w:rsidRDefault="00CD5B07" w:rsidP="00CD5B07">
            <w:pPr>
              <w:pStyle w:val="Tabletext0"/>
              <w:rPr>
                <w:rFonts w:ascii="Arial" w:hAnsi="Arial"/>
                <w:color w:val="000000" w:themeColor="text1"/>
                <w:sz w:val="22"/>
                <w:szCs w:val="22"/>
                <w:lang w:eastAsia="en-US"/>
              </w:rPr>
            </w:pPr>
            <w:r w:rsidRPr="00CD5B07">
              <w:rPr>
                <w:rFonts w:ascii="Arial" w:hAnsi="Arial"/>
                <w:b w:val="0"/>
                <w:bCs w:val="0"/>
                <w:color w:val="000000" w:themeColor="text1"/>
                <w:sz w:val="22"/>
                <w:szCs w:val="22"/>
                <w:lang w:eastAsia="en-US"/>
              </w:rPr>
              <w:t xml:space="preserve">for a patient for whom there has been at least one failed attempt at removal via ERCP extraction </w:t>
            </w:r>
            <w:proofErr w:type="gramStart"/>
            <w:r w:rsidRPr="00CD5B07">
              <w:rPr>
                <w:rFonts w:ascii="Arial" w:hAnsi="Arial"/>
                <w:b w:val="0"/>
                <w:bCs w:val="0"/>
                <w:color w:val="000000" w:themeColor="text1"/>
                <w:sz w:val="22"/>
                <w:szCs w:val="22"/>
                <w:lang w:eastAsia="en-US"/>
              </w:rPr>
              <w:t>techniques</w:t>
            </w:r>
            <w:proofErr w:type="gramEnd"/>
          </w:p>
          <w:p w14:paraId="5C425FE6" w14:textId="77777777" w:rsidR="00FF72A9" w:rsidRPr="00CD5B07" w:rsidRDefault="00FF72A9" w:rsidP="00CD5B07">
            <w:pPr>
              <w:pStyle w:val="Tabletext0"/>
              <w:rPr>
                <w:rFonts w:ascii="Arial" w:hAnsi="Arial"/>
                <w:b w:val="0"/>
                <w:bCs w:val="0"/>
                <w:color w:val="000000" w:themeColor="text1"/>
                <w:sz w:val="22"/>
                <w:szCs w:val="22"/>
                <w:lang w:eastAsia="en-US"/>
              </w:rPr>
            </w:pPr>
          </w:p>
          <w:p w14:paraId="68C9506D" w14:textId="77777777" w:rsidR="00CD5B07" w:rsidRPr="00CD5B07" w:rsidRDefault="00CD5B07" w:rsidP="00CD5B07">
            <w:pPr>
              <w:pStyle w:val="Tabletext0"/>
              <w:rPr>
                <w:rFonts w:ascii="Arial" w:hAnsi="Arial"/>
                <w:b w:val="0"/>
                <w:bCs w:val="0"/>
                <w:color w:val="000000" w:themeColor="text1"/>
                <w:sz w:val="22"/>
                <w:szCs w:val="22"/>
                <w:lang w:eastAsia="en-US"/>
              </w:rPr>
            </w:pPr>
            <w:r w:rsidRPr="00CD5B07">
              <w:rPr>
                <w:rFonts w:ascii="Arial" w:hAnsi="Arial"/>
                <w:b w:val="0"/>
                <w:bCs w:val="0"/>
                <w:color w:val="000000" w:themeColor="text1"/>
                <w:sz w:val="22"/>
                <w:szCs w:val="22"/>
                <w:lang w:eastAsia="en-US"/>
              </w:rPr>
              <w:t>Applicable not more than 2 times per treatment cycle</w:t>
            </w:r>
          </w:p>
          <w:p w14:paraId="100AC24A" w14:textId="77777777" w:rsidR="0039255A" w:rsidRDefault="0039255A" w:rsidP="000243B0">
            <w:pPr>
              <w:pStyle w:val="Tablea"/>
              <w:ind w:left="0" w:firstLine="0"/>
              <w:rPr>
                <w:rFonts w:ascii="Arial" w:hAnsi="Arial"/>
                <w:color w:val="000000" w:themeColor="text1"/>
                <w:sz w:val="22"/>
                <w:szCs w:val="22"/>
                <w:lang w:eastAsia="en-US"/>
              </w:rPr>
            </w:pPr>
          </w:p>
          <w:p w14:paraId="288AAD80" w14:textId="0C4D643A" w:rsidR="00A25921" w:rsidRDefault="0039255A" w:rsidP="0039255A">
            <w:pPr>
              <w:pStyle w:val="Tablea"/>
              <w:rPr>
                <w:rFonts w:ascii="Arial" w:hAnsi="Arial"/>
                <w:color w:val="000000" w:themeColor="text1"/>
                <w:sz w:val="22"/>
                <w:szCs w:val="22"/>
                <w:lang w:eastAsia="en-US"/>
              </w:rPr>
            </w:pPr>
            <w:r w:rsidRPr="00644135">
              <w:rPr>
                <w:rFonts w:ascii="Arial" w:hAnsi="Arial"/>
                <w:b w:val="0"/>
                <w:bCs w:val="0"/>
                <w:color w:val="000000" w:themeColor="text1"/>
                <w:sz w:val="22"/>
                <w:szCs w:val="22"/>
                <w:lang w:eastAsia="en-US"/>
              </w:rPr>
              <w:lastRenderedPageBreak/>
              <w:t>(H) (</w:t>
            </w:r>
            <w:proofErr w:type="spellStart"/>
            <w:r w:rsidRPr="00644135">
              <w:rPr>
                <w:rFonts w:ascii="Arial" w:hAnsi="Arial"/>
                <w:b w:val="0"/>
                <w:bCs w:val="0"/>
                <w:color w:val="000000" w:themeColor="text1"/>
                <w:sz w:val="22"/>
                <w:szCs w:val="22"/>
                <w:lang w:eastAsia="en-US"/>
              </w:rPr>
              <w:t>Anaes</w:t>
            </w:r>
            <w:proofErr w:type="spellEnd"/>
            <w:r w:rsidRPr="00644135">
              <w:rPr>
                <w:rFonts w:ascii="Arial" w:hAnsi="Arial"/>
                <w:b w:val="0"/>
                <w:bCs w:val="0"/>
                <w:color w:val="000000" w:themeColor="text1"/>
                <w:sz w:val="22"/>
                <w:szCs w:val="22"/>
                <w:lang w:eastAsia="en-US"/>
              </w:rPr>
              <w:t>.) (Assist.)</w:t>
            </w:r>
          </w:p>
          <w:p w14:paraId="7DA32822" w14:textId="77777777" w:rsidR="0008296C" w:rsidRDefault="0008296C" w:rsidP="0039255A">
            <w:pPr>
              <w:pStyle w:val="Tablea"/>
              <w:rPr>
                <w:rFonts w:ascii="Arial" w:hAnsi="Arial"/>
                <w:b w:val="0"/>
                <w:bCs w:val="0"/>
                <w:color w:val="000000" w:themeColor="text1"/>
                <w:sz w:val="22"/>
                <w:szCs w:val="22"/>
                <w:lang w:eastAsia="en-US"/>
              </w:rPr>
            </w:pPr>
          </w:p>
          <w:p w14:paraId="537264FD" w14:textId="4A9D3F6C" w:rsidR="0008296C" w:rsidRPr="00FC5702" w:rsidRDefault="0008296C" w:rsidP="0008296C">
            <w:pPr>
              <w:rPr>
                <w:rFonts w:cs="Arial"/>
                <w:b w:val="0"/>
                <w:bCs w:val="0"/>
                <w:szCs w:val="22"/>
              </w:rPr>
            </w:pPr>
            <w:r w:rsidRPr="00DF33C3">
              <w:rPr>
                <w:rFonts w:cs="Arial"/>
                <w:szCs w:val="22"/>
              </w:rPr>
              <w:t>Schedule Fee:</w:t>
            </w:r>
            <w:r>
              <w:rPr>
                <w:rFonts w:cs="Arial"/>
                <w:b w:val="0"/>
                <w:bCs w:val="0"/>
                <w:szCs w:val="22"/>
              </w:rPr>
              <w:t xml:space="preserve"> </w:t>
            </w:r>
            <w:r>
              <w:rPr>
                <w:rFonts w:cs="Arial"/>
                <w:szCs w:val="22"/>
              </w:rPr>
              <w:t xml:space="preserve">$901.35 </w:t>
            </w:r>
            <w:r>
              <w:t xml:space="preserve">Benefit: 75% = $676.05  </w:t>
            </w:r>
          </w:p>
          <w:p w14:paraId="0F29D8E4" w14:textId="77777777" w:rsidR="0008296C" w:rsidRDefault="0008296C" w:rsidP="0039255A">
            <w:pPr>
              <w:pStyle w:val="Tablea"/>
              <w:rPr>
                <w:rFonts w:ascii="Arial" w:hAnsi="Arial"/>
                <w:color w:val="000000" w:themeColor="text1"/>
                <w:sz w:val="22"/>
                <w:szCs w:val="22"/>
                <w:lang w:eastAsia="en-US"/>
              </w:rPr>
            </w:pPr>
          </w:p>
          <w:p w14:paraId="2F8321B0" w14:textId="77777777" w:rsidR="00AA460C" w:rsidRPr="00642F20" w:rsidRDefault="00AA460C" w:rsidP="00AA460C">
            <w:pPr>
              <w:pStyle w:val="ListBullet"/>
              <w:numPr>
                <w:ilvl w:val="0"/>
                <w:numId w:val="0"/>
              </w:numPr>
              <w:rPr>
                <w:b w:val="0"/>
                <w:bCs w:val="0"/>
              </w:rPr>
            </w:pPr>
            <w:r w:rsidRPr="00642F20">
              <w:rPr>
                <w:b w:val="0"/>
                <w:bCs w:val="0"/>
              </w:rPr>
              <w:t>Private Health Insurance Classification:</w:t>
            </w:r>
          </w:p>
          <w:p w14:paraId="54B01E93" w14:textId="77777777" w:rsidR="00AA460C" w:rsidRPr="00AA460C" w:rsidRDefault="00AA460C" w:rsidP="00AA460C">
            <w:pPr>
              <w:pStyle w:val="ListBullet"/>
              <w:rPr>
                <w:b w:val="0"/>
                <w:bCs w:val="0"/>
              </w:rPr>
            </w:pPr>
            <w:r w:rsidRPr="00642F20">
              <w:rPr>
                <w:b w:val="0"/>
                <w:bCs w:val="0"/>
              </w:rPr>
              <w:t xml:space="preserve">Clinical category: </w:t>
            </w:r>
            <w:r w:rsidRPr="003F40AD">
              <w:rPr>
                <w:b w:val="0"/>
                <w:bCs w:val="0"/>
              </w:rPr>
              <w:t>Gastrointestinal endoscopy</w:t>
            </w:r>
          </w:p>
          <w:p w14:paraId="4CE2AFE7" w14:textId="0391CBBE" w:rsidR="00AA460C" w:rsidRPr="00AA460C" w:rsidRDefault="00AA460C" w:rsidP="00AA460C">
            <w:pPr>
              <w:pStyle w:val="ListBullet"/>
              <w:rPr>
                <w:b w:val="0"/>
                <w:bCs w:val="0"/>
              </w:rPr>
            </w:pPr>
            <w:r w:rsidRPr="00642F20">
              <w:rPr>
                <w:b w:val="0"/>
                <w:bCs w:val="0"/>
              </w:rPr>
              <w:t xml:space="preserve">Procedure type: </w:t>
            </w:r>
            <w:r w:rsidRPr="00AB198B">
              <w:rPr>
                <w:b w:val="0"/>
                <w:bCs w:val="0"/>
              </w:rPr>
              <w:t>Type A Surgical</w:t>
            </w:r>
          </w:p>
          <w:p w14:paraId="1A94184E" w14:textId="77777777" w:rsidR="00FD683A" w:rsidRPr="00644135" w:rsidRDefault="00FD683A" w:rsidP="00644135">
            <w:pPr>
              <w:pStyle w:val="Tablea"/>
              <w:rPr>
                <w:rFonts w:ascii="Arial" w:hAnsi="Arial"/>
                <w:b w:val="0"/>
                <w:bCs w:val="0"/>
                <w:color w:val="000000" w:themeColor="text1"/>
                <w:sz w:val="22"/>
                <w:szCs w:val="22"/>
                <w:lang w:eastAsia="en-US"/>
              </w:rPr>
            </w:pPr>
          </w:p>
          <w:p w14:paraId="08FC74C0" w14:textId="1114AA46" w:rsidR="00E53933" w:rsidRPr="00644135" w:rsidRDefault="00E53933" w:rsidP="00644135">
            <w:pPr>
              <w:pStyle w:val="Tablea"/>
              <w:rPr>
                <w:rFonts w:ascii="Arial" w:hAnsi="Arial"/>
                <w:b w:val="0"/>
                <w:bCs w:val="0"/>
                <w:color w:val="000000" w:themeColor="text1"/>
                <w:sz w:val="22"/>
                <w:szCs w:val="22"/>
                <w:lang w:eastAsia="en-US"/>
              </w:rPr>
            </w:pPr>
          </w:p>
        </w:tc>
      </w:tr>
      <w:tr w:rsidR="00AA460C" w14:paraId="084EABE2"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49A2E17" w14:textId="4FC75C1A" w:rsidR="002E4ADD" w:rsidRPr="002E4ADD" w:rsidRDefault="002E4ADD" w:rsidP="00971795">
            <w:pPr>
              <w:pStyle w:val="NormalWeb"/>
              <w:rPr>
                <w:rFonts w:ascii="Arial" w:hAnsi="Arial"/>
                <w:sz w:val="22"/>
                <w:szCs w:val="22"/>
                <w:lang w:eastAsia="en-US"/>
              </w:rPr>
            </w:pPr>
            <w:r>
              <w:rPr>
                <w:rFonts w:ascii="Arial" w:hAnsi="Arial"/>
                <w:sz w:val="22"/>
                <w:szCs w:val="22"/>
                <w:lang w:eastAsia="en-US"/>
              </w:rPr>
              <w:lastRenderedPageBreak/>
              <w:br/>
            </w:r>
            <w:r w:rsidR="00BE6898" w:rsidRPr="002E4ADD">
              <w:rPr>
                <w:rFonts w:ascii="Arial" w:hAnsi="Arial"/>
                <w:sz w:val="22"/>
                <w:szCs w:val="22"/>
                <w:lang w:eastAsia="en-US"/>
              </w:rPr>
              <w:t xml:space="preserve">TN.8.17 </w:t>
            </w:r>
            <w:r w:rsidRPr="002E4ADD">
              <w:rPr>
                <w:rFonts w:ascii="Arial" w:hAnsi="Arial"/>
                <w:sz w:val="22"/>
                <w:szCs w:val="22"/>
                <w:lang w:eastAsia="en-US"/>
              </w:rPr>
              <w:t>Gastrointestinal Endoscopic Procedures - (Items 30473 to 30481, 30484, 30485, 30490 to 30494, 30680 to 32023, 32084 to 32095, 32106, 32232 and 32222 to 32229)</w:t>
            </w:r>
          </w:p>
          <w:p w14:paraId="51C481C2" w14:textId="08D52933" w:rsidR="00971795" w:rsidRPr="002E4ADD" w:rsidRDefault="00971795" w:rsidP="00971795">
            <w:pPr>
              <w:pStyle w:val="NormalWeb"/>
              <w:rPr>
                <w:rFonts w:ascii="Arial" w:hAnsi="Arial"/>
                <w:b w:val="0"/>
                <w:bCs w:val="0"/>
                <w:sz w:val="22"/>
                <w:szCs w:val="22"/>
                <w:lang w:eastAsia="en-US"/>
              </w:rPr>
            </w:pPr>
            <w:r w:rsidRPr="002E4ADD">
              <w:rPr>
                <w:rFonts w:ascii="Arial" w:hAnsi="Arial"/>
                <w:b w:val="0"/>
                <w:bCs w:val="0"/>
                <w:sz w:val="22"/>
                <w:szCs w:val="22"/>
                <w:lang w:eastAsia="en-US"/>
              </w:rPr>
              <w:t xml:space="preserve">The following are guidelines for appropriate minimum standards for the performance of GI endoscopy in relation to (a) cleaning, </w:t>
            </w:r>
            <w:proofErr w:type="gramStart"/>
            <w:r w:rsidRPr="002E4ADD">
              <w:rPr>
                <w:rFonts w:ascii="Arial" w:hAnsi="Arial"/>
                <w:b w:val="0"/>
                <w:bCs w:val="0"/>
                <w:sz w:val="22"/>
                <w:szCs w:val="22"/>
                <w:lang w:eastAsia="en-US"/>
              </w:rPr>
              <w:t>disinfection</w:t>
            </w:r>
            <w:proofErr w:type="gramEnd"/>
            <w:r w:rsidRPr="002E4ADD">
              <w:rPr>
                <w:rFonts w:ascii="Arial" w:hAnsi="Arial"/>
                <w:b w:val="0"/>
                <w:bCs w:val="0"/>
                <w:sz w:val="22"/>
                <w:szCs w:val="22"/>
                <w:lang w:eastAsia="en-US"/>
              </w:rPr>
              <w:t xml:space="preserve"> and sterilisation procedures, and (b) anaesthetic and resuscitation equipment.</w:t>
            </w:r>
          </w:p>
          <w:p w14:paraId="7AB2E14A" w14:textId="288BBF20" w:rsidR="00971795" w:rsidRPr="002E4ADD" w:rsidRDefault="00971795" w:rsidP="00971795">
            <w:pPr>
              <w:pStyle w:val="NormalWeb"/>
              <w:rPr>
                <w:rFonts w:ascii="Arial" w:hAnsi="Arial"/>
                <w:b w:val="0"/>
                <w:bCs w:val="0"/>
                <w:sz w:val="22"/>
                <w:szCs w:val="22"/>
                <w:lang w:eastAsia="en-US"/>
              </w:rPr>
            </w:pPr>
            <w:r w:rsidRPr="002E4ADD">
              <w:rPr>
                <w:rFonts w:ascii="Arial" w:hAnsi="Arial"/>
                <w:b w:val="0"/>
                <w:bCs w:val="0"/>
                <w:sz w:val="22"/>
                <w:szCs w:val="22"/>
                <w:lang w:eastAsia="en-US"/>
              </w:rPr>
              <w:t>These guidelines are based on the advice of the Gastroenterological Society of Australia, the Sections of HPB and Upper GI and of Colon and Rectal Surgery of the Royal Australasian College of Surgeons, and the Colorectal Surgical Society of Australia.</w:t>
            </w:r>
          </w:p>
          <w:p w14:paraId="3B79D0B7" w14:textId="142FF7AF" w:rsidR="00971795" w:rsidRPr="002E4ADD" w:rsidRDefault="00971795" w:rsidP="00971795">
            <w:pPr>
              <w:pStyle w:val="NormalWeb"/>
              <w:rPr>
                <w:rFonts w:ascii="Arial" w:hAnsi="Arial"/>
                <w:b w:val="0"/>
                <w:bCs w:val="0"/>
                <w:sz w:val="22"/>
                <w:szCs w:val="22"/>
                <w:lang w:eastAsia="en-US"/>
              </w:rPr>
            </w:pPr>
            <w:r w:rsidRPr="002E4ADD">
              <w:rPr>
                <w:rFonts w:ascii="Arial" w:hAnsi="Arial"/>
                <w:sz w:val="22"/>
                <w:szCs w:val="22"/>
                <w:lang w:eastAsia="en-US"/>
              </w:rPr>
              <w:t xml:space="preserve">Cleaning, </w:t>
            </w:r>
            <w:proofErr w:type="gramStart"/>
            <w:r w:rsidRPr="002E4ADD">
              <w:rPr>
                <w:rFonts w:ascii="Arial" w:hAnsi="Arial"/>
                <w:sz w:val="22"/>
                <w:szCs w:val="22"/>
                <w:lang w:eastAsia="en-US"/>
              </w:rPr>
              <w:t>disinfection</w:t>
            </w:r>
            <w:proofErr w:type="gramEnd"/>
            <w:r w:rsidRPr="002E4ADD">
              <w:rPr>
                <w:rFonts w:ascii="Arial" w:hAnsi="Arial"/>
                <w:sz w:val="22"/>
                <w:szCs w:val="22"/>
                <w:lang w:eastAsia="en-US"/>
              </w:rPr>
              <w:t xml:space="preserve"> and sterilisation procedures</w:t>
            </w:r>
            <w:r w:rsidRPr="002E4ADD">
              <w:rPr>
                <w:rFonts w:ascii="Arial" w:hAnsi="Arial"/>
                <w:b w:val="0"/>
                <w:bCs w:val="0"/>
                <w:sz w:val="22"/>
                <w:szCs w:val="22"/>
                <w:lang w:eastAsia="en-US"/>
              </w:rPr>
              <w:br/>
              <w:t>Endoscopic procedures should be performed in facilities where endoscope and accessory reprocessing protocols follow procedures outlined in:</w:t>
            </w:r>
          </w:p>
          <w:p w14:paraId="4B48C7A2" w14:textId="77777777" w:rsidR="00971795" w:rsidRPr="002E4ADD" w:rsidRDefault="00971795" w:rsidP="00971795">
            <w:pPr>
              <w:numPr>
                <w:ilvl w:val="0"/>
                <w:numId w:val="31"/>
              </w:numPr>
              <w:spacing w:before="100" w:beforeAutospacing="1" w:after="100" w:afterAutospacing="1" w:line="240" w:lineRule="auto"/>
              <w:rPr>
                <w:b w:val="0"/>
                <w:bCs w:val="0"/>
                <w:szCs w:val="22"/>
              </w:rPr>
            </w:pPr>
            <w:r w:rsidRPr="002E4ADD">
              <w:rPr>
                <w:b w:val="0"/>
                <w:bCs w:val="0"/>
                <w:szCs w:val="22"/>
              </w:rPr>
              <w:t xml:space="preserve">Infection Control in Endoscopy, Gastroenterological Society of Australia and Gastroenterological Nurses College of </w:t>
            </w:r>
            <w:proofErr w:type="gramStart"/>
            <w:r w:rsidRPr="002E4ADD">
              <w:rPr>
                <w:b w:val="0"/>
                <w:bCs w:val="0"/>
                <w:szCs w:val="22"/>
              </w:rPr>
              <w:t>Australia ,</w:t>
            </w:r>
            <w:proofErr w:type="gramEnd"/>
            <w:r w:rsidRPr="002E4ADD">
              <w:rPr>
                <w:b w:val="0"/>
                <w:bCs w:val="0"/>
                <w:szCs w:val="22"/>
              </w:rPr>
              <w:t xml:space="preserve"> 2011;</w:t>
            </w:r>
          </w:p>
          <w:p w14:paraId="421F72CF" w14:textId="77777777" w:rsidR="00971795" w:rsidRPr="002E4ADD" w:rsidRDefault="00971795" w:rsidP="00971795">
            <w:pPr>
              <w:numPr>
                <w:ilvl w:val="0"/>
                <w:numId w:val="31"/>
              </w:numPr>
              <w:spacing w:before="100" w:beforeAutospacing="1" w:after="100" w:afterAutospacing="1" w:line="240" w:lineRule="auto"/>
              <w:rPr>
                <w:b w:val="0"/>
                <w:bCs w:val="0"/>
                <w:szCs w:val="22"/>
              </w:rPr>
            </w:pPr>
            <w:r w:rsidRPr="002E4ADD">
              <w:rPr>
                <w:b w:val="0"/>
                <w:bCs w:val="0"/>
                <w:szCs w:val="22"/>
              </w:rPr>
              <w:t>Australian Guidelines for the Prevention and Control of Infection in Healthcare (NHMRC, 2010</w:t>
            </w:r>
            <w:proofErr w:type="gramStart"/>
            <w:r w:rsidRPr="002E4ADD">
              <w:rPr>
                <w:b w:val="0"/>
                <w:bCs w:val="0"/>
                <w:szCs w:val="22"/>
              </w:rPr>
              <w:t>);</w:t>
            </w:r>
            <w:proofErr w:type="gramEnd"/>
          </w:p>
          <w:p w14:paraId="4B844AB0" w14:textId="77777777" w:rsidR="00971795" w:rsidRPr="002E4ADD" w:rsidRDefault="00971795" w:rsidP="00971795">
            <w:pPr>
              <w:numPr>
                <w:ilvl w:val="0"/>
                <w:numId w:val="31"/>
              </w:numPr>
              <w:spacing w:before="100" w:beforeAutospacing="1" w:after="100" w:afterAutospacing="1" w:line="240" w:lineRule="auto"/>
              <w:rPr>
                <w:b w:val="0"/>
                <w:bCs w:val="0"/>
                <w:szCs w:val="22"/>
              </w:rPr>
            </w:pPr>
            <w:r w:rsidRPr="002E4ADD">
              <w:rPr>
                <w:b w:val="0"/>
                <w:bCs w:val="0"/>
                <w:szCs w:val="22"/>
              </w:rPr>
              <w:t>Australian Standard AS 4187 2014 (and Amendments), Standards Association of Australia. </w:t>
            </w:r>
          </w:p>
          <w:p w14:paraId="2D321376" w14:textId="77777777" w:rsidR="00971795" w:rsidRDefault="00971795" w:rsidP="00971795">
            <w:pPr>
              <w:pStyle w:val="NormalWeb"/>
              <w:rPr>
                <w:rFonts w:ascii="Arial" w:hAnsi="Arial"/>
                <w:sz w:val="22"/>
                <w:szCs w:val="22"/>
                <w:lang w:eastAsia="en-US"/>
              </w:rPr>
            </w:pPr>
            <w:r w:rsidRPr="002E4ADD">
              <w:rPr>
                <w:rFonts w:ascii="Arial" w:hAnsi="Arial"/>
                <w:sz w:val="22"/>
                <w:szCs w:val="22"/>
                <w:lang w:eastAsia="en-US"/>
              </w:rPr>
              <w:t>Anaesthetic and resuscitation equipment</w:t>
            </w:r>
            <w:r w:rsidRPr="002E4ADD">
              <w:rPr>
                <w:rFonts w:ascii="Arial" w:hAnsi="Arial"/>
                <w:b w:val="0"/>
                <w:bCs w:val="0"/>
                <w:sz w:val="22"/>
                <w:szCs w:val="22"/>
                <w:lang w:eastAsia="en-US"/>
              </w:rPr>
              <w:br/>
              <w:t xml:space="preserve">Where the patient is anaesthetised, anaesthetic equipment, administration and monitoring, and post-operative and resuscitation facilities should conform to the standards outlined in 'Guidelines on Sedation and/or Analgesia for Diagnostic and Interventional Medical, Dental or Surgical Procedures' (PS09), Australian &amp; New Zealand College of Anaesthetists, Gastroenterological Society of </w:t>
            </w:r>
            <w:proofErr w:type="gramStart"/>
            <w:r w:rsidRPr="002E4ADD">
              <w:rPr>
                <w:rFonts w:ascii="Arial" w:hAnsi="Arial"/>
                <w:b w:val="0"/>
                <w:bCs w:val="0"/>
                <w:sz w:val="22"/>
                <w:szCs w:val="22"/>
                <w:lang w:eastAsia="en-US"/>
              </w:rPr>
              <w:t>Australia</w:t>
            </w:r>
            <w:proofErr w:type="gramEnd"/>
            <w:r w:rsidRPr="002E4ADD">
              <w:rPr>
                <w:rFonts w:ascii="Arial" w:hAnsi="Arial"/>
                <w:b w:val="0"/>
                <w:bCs w:val="0"/>
                <w:sz w:val="22"/>
                <w:szCs w:val="22"/>
                <w:lang w:eastAsia="en-US"/>
              </w:rPr>
              <w:t xml:space="preserve"> and Royal Australasian College of Surgeons.</w:t>
            </w:r>
          </w:p>
          <w:p w14:paraId="75216151" w14:textId="77777777" w:rsidR="00971795" w:rsidRPr="002E4ADD" w:rsidRDefault="00971795" w:rsidP="00971795">
            <w:pPr>
              <w:pStyle w:val="NormalWeb"/>
              <w:rPr>
                <w:rFonts w:ascii="Arial" w:hAnsi="Arial"/>
                <w:b w:val="0"/>
                <w:bCs w:val="0"/>
                <w:sz w:val="22"/>
                <w:szCs w:val="22"/>
                <w:lang w:eastAsia="en-US"/>
              </w:rPr>
            </w:pPr>
            <w:r w:rsidRPr="002E4ADD">
              <w:rPr>
                <w:rFonts w:ascii="Arial" w:hAnsi="Arial"/>
                <w:sz w:val="22"/>
                <w:szCs w:val="22"/>
                <w:lang w:eastAsia="en-US"/>
              </w:rPr>
              <w:lastRenderedPageBreak/>
              <w:t xml:space="preserve">Single operator, single use peroral </w:t>
            </w:r>
            <w:proofErr w:type="spellStart"/>
            <w:r w:rsidRPr="002E4ADD">
              <w:rPr>
                <w:rFonts w:ascii="Arial" w:hAnsi="Arial"/>
                <w:sz w:val="22"/>
                <w:szCs w:val="22"/>
                <w:lang w:eastAsia="en-US"/>
              </w:rPr>
              <w:t>cholangiopancreatoscopy</w:t>
            </w:r>
            <w:proofErr w:type="spellEnd"/>
            <w:r w:rsidRPr="002E4ADD">
              <w:rPr>
                <w:rFonts w:ascii="Arial" w:hAnsi="Arial"/>
                <w:sz w:val="22"/>
                <w:szCs w:val="22"/>
                <w:lang w:eastAsia="en-US"/>
              </w:rPr>
              <w:t xml:space="preserve"> (POCPS) item 30665</w:t>
            </w:r>
          </w:p>
          <w:p w14:paraId="1C9F5D42" w14:textId="77777777" w:rsidR="00971795" w:rsidRPr="002E4ADD" w:rsidRDefault="00971795" w:rsidP="00971795">
            <w:pPr>
              <w:pStyle w:val="NormalWeb"/>
              <w:rPr>
                <w:rFonts w:ascii="Arial" w:hAnsi="Arial"/>
                <w:b w:val="0"/>
                <w:bCs w:val="0"/>
                <w:sz w:val="22"/>
                <w:szCs w:val="22"/>
                <w:lang w:eastAsia="en-US"/>
              </w:rPr>
            </w:pPr>
            <w:r w:rsidRPr="002E4ADD">
              <w:rPr>
                <w:rFonts w:ascii="Arial" w:hAnsi="Arial"/>
                <w:b w:val="0"/>
                <w:bCs w:val="0"/>
                <w:sz w:val="22"/>
                <w:szCs w:val="22"/>
                <w:lang w:eastAsia="en-US"/>
              </w:rPr>
              <w:t>For the purposes of item 30665 a treatment cycle, for a patient, means a series of treatments for the patient that:</w:t>
            </w:r>
          </w:p>
          <w:p w14:paraId="28C97822" w14:textId="2E2539F9" w:rsidR="00971795" w:rsidRPr="002E4ADD" w:rsidRDefault="00971795" w:rsidP="00971795">
            <w:pPr>
              <w:pStyle w:val="NormalWeb"/>
              <w:rPr>
                <w:rFonts w:ascii="Arial" w:hAnsi="Arial"/>
                <w:b w:val="0"/>
                <w:bCs w:val="0"/>
                <w:sz w:val="22"/>
                <w:szCs w:val="22"/>
                <w:lang w:eastAsia="en-US"/>
              </w:rPr>
            </w:pPr>
            <w:r w:rsidRPr="002E4ADD">
              <w:rPr>
                <w:rFonts w:ascii="Arial" w:hAnsi="Arial"/>
                <w:b w:val="0"/>
                <w:bCs w:val="0"/>
                <w:sz w:val="22"/>
                <w:szCs w:val="22"/>
                <w:lang w:eastAsia="en-US"/>
              </w:rPr>
              <w:t>(a)  begins on the day of the initial failed attempt at biliary stone removal via endoscopic retrograde cholangiopancreatography (ERCP) extraction techniques; and</w:t>
            </w:r>
            <w:r w:rsidRPr="002E4ADD">
              <w:rPr>
                <w:rFonts w:ascii="Arial" w:hAnsi="Arial"/>
                <w:b w:val="0"/>
                <w:bCs w:val="0"/>
                <w:sz w:val="22"/>
                <w:szCs w:val="22"/>
                <w:lang w:eastAsia="en-US"/>
              </w:rPr>
              <w:br/>
              <w:t>(b) ends at the conclusion of the aftercare period for the procedure, being either the lithotripsy procedure or a definitive surgical management procedure, that has resulted in removal of the biliary stones.</w:t>
            </w:r>
          </w:p>
          <w:p w14:paraId="54126AF2" w14:textId="77777777" w:rsidR="00971795" w:rsidRPr="002E4ADD" w:rsidRDefault="00971795" w:rsidP="00971795">
            <w:pPr>
              <w:pStyle w:val="NormalWeb"/>
              <w:rPr>
                <w:rFonts w:ascii="Arial" w:hAnsi="Arial"/>
                <w:b w:val="0"/>
                <w:bCs w:val="0"/>
                <w:sz w:val="22"/>
                <w:szCs w:val="22"/>
                <w:lang w:eastAsia="en-US"/>
              </w:rPr>
            </w:pPr>
            <w:r w:rsidRPr="002E4ADD">
              <w:rPr>
                <w:rFonts w:ascii="Arial" w:hAnsi="Arial"/>
                <w:sz w:val="22"/>
                <w:szCs w:val="22"/>
                <w:lang w:eastAsia="en-US"/>
              </w:rPr>
              <w:t>Conjoint Committee</w:t>
            </w:r>
          </w:p>
          <w:p w14:paraId="619DA166" w14:textId="77777777" w:rsidR="00971795" w:rsidRPr="002E4ADD" w:rsidRDefault="00971795" w:rsidP="00971795">
            <w:pPr>
              <w:pStyle w:val="NormalWeb"/>
              <w:rPr>
                <w:rFonts w:ascii="Arial" w:hAnsi="Arial"/>
                <w:b w:val="0"/>
                <w:bCs w:val="0"/>
                <w:sz w:val="22"/>
                <w:szCs w:val="22"/>
                <w:lang w:eastAsia="en-US"/>
              </w:rPr>
            </w:pPr>
            <w:r w:rsidRPr="002E4ADD">
              <w:rPr>
                <w:rFonts w:ascii="Arial" w:hAnsi="Arial"/>
                <w:b w:val="0"/>
                <w:bCs w:val="0"/>
                <w:sz w:val="22"/>
                <w:szCs w:val="22"/>
                <w:lang w:eastAsia="en-US"/>
              </w:rPr>
              <w:t>For the purposes of Items 32023, 30664 and 30665 the procedure is to be performed by a surgeon or gastroenterologist with ERCP training recognised by the Conjoint Committee for the Recognition of Training in Gastrointestinal Endoscopy.</w:t>
            </w:r>
          </w:p>
          <w:p w14:paraId="013FD157" w14:textId="581F1535" w:rsidR="00971795" w:rsidRPr="00644135" w:rsidRDefault="00971795" w:rsidP="00644135">
            <w:pPr>
              <w:pStyle w:val="Tablea"/>
              <w:rPr>
                <w:rFonts w:ascii="Arial" w:hAnsi="Arial"/>
                <w:color w:val="000000" w:themeColor="text1"/>
                <w:sz w:val="22"/>
                <w:szCs w:val="22"/>
                <w:lang w:eastAsia="en-US"/>
              </w:rPr>
            </w:pP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DD4E" w14:textId="77777777" w:rsidR="001B4F66" w:rsidRDefault="001B4F66" w:rsidP="006B56BB">
      <w:r>
        <w:separator/>
      </w:r>
    </w:p>
    <w:p w14:paraId="7ECEE17C" w14:textId="77777777" w:rsidR="001B4F66" w:rsidRDefault="001B4F66"/>
  </w:endnote>
  <w:endnote w:type="continuationSeparator" w:id="0">
    <w:p w14:paraId="4E425523" w14:textId="77777777" w:rsidR="001B4F66" w:rsidRDefault="001B4F66" w:rsidP="006B56BB">
      <w:r>
        <w:continuationSeparator/>
      </w:r>
    </w:p>
    <w:p w14:paraId="61C90DDC" w14:textId="77777777" w:rsidR="001B4F66" w:rsidRDefault="001B4F66"/>
  </w:endnote>
  <w:endnote w:type="continuationNotice" w:id="1">
    <w:p w14:paraId="305A6BBD" w14:textId="77777777" w:rsidR="001B4F66" w:rsidRDefault="001B4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1A49C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22B5E58" w:rsidR="00F51321" w:rsidRDefault="006A22AD" w:rsidP="00E17F75">
    <w:pPr>
      <w:pStyle w:val="Footer"/>
      <w:tabs>
        <w:tab w:val="clear" w:pos="9026"/>
        <w:tab w:val="right" w:pos="10466"/>
      </w:tabs>
      <w:jc w:val="left"/>
    </w:pPr>
    <w:r>
      <w:rPr>
        <w:b/>
      </w:rPr>
      <w:t xml:space="preserve">Single Operator, single use peroral </w:t>
    </w:r>
    <w:proofErr w:type="spellStart"/>
    <w:r>
      <w:rPr>
        <w:b/>
      </w:rPr>
      <w:t>cholangiopancreatoscopy</w:t>
    </w:r>
    <w:proofErr w:type="spellEnd"/>
    <w:r>
      <w:rPr>
        <w:b/>
      </w:rPr>
      <w:t xml:space="preserve"> (POCPS)</w:t>
    </w:r>
    <w:r w:rsidRPr="00E863C4">
      <w:rPr>
        <w:b/>
      </w:rPr>
      <w:t xml:space="preserve"> </w:t>
    </w:r>
    <w:r>
      <w:rPr>
        <w:b/>
      </w:rPr>
      <w:t>for diagnosis of indeterminate biliary strictures and removal of difficult biliary stones</w:t>
    </w:r>
    <w:r w:rsidRPr="00E863C4">
      <w:rPr>
        <w:b/>
      </w:rPr>
      <w:t xml:space="preserve"> </w:t>
    </w:r>
    <w:r w:rsidR="00E17F75" w:rsidRPr="00E863C4">
      <w:rPr>
        <w:b/>
      </w:rPr>
      <w:t xml:space="preserve">– </w:t>
    </w:r>
    <w:r w:rsidR="00E17F75">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1A49C9" w:rsidP="00F51321">
    <w:pPr>
      <w:pStyle w:val="Footer"/>
      <w:jc w:val="left"/>
      <w:rPr>
        <w:rStyle w:val="Hyperlink"/>
        <w:szCs w:val="18"/>
      </w:rPr>
    </w:pPr>
    <w:hyperlink r:id="rId1" w:history="1">
      <w:r w:rsidR="00F51321" w:rsidRPr="00E863C4">
        <w:rPr>
          <w:rStyle w:val="Hyperlink"/>
          <w:szCs w:val="18"/>
        </w:rPr>
        <w:t>MBS Online</w:t>
      </w:r>
    </w:hyperlink>
  </w:p>
  <w:p w14:paraId="0D093570" w14:textId="6F75FEB3" w:rsidR="00F51321" w:rsidRPr="009B32BA" w:rsidRDefault="00F51321" w:rsidP="00F51321">
    <w:pPr>
      <w:pStyle w:val="Footer"/>
      <w:jc w:val="left"/>
      <w:rPr>
        <w:szCs w:val="18"/>
      </w:rPr>
    </w:pPr>
    <w:r w:rsidRPr="00870B05">
      <w:t>Last updated</w:t>
    </w:r>
    <w:r>
      <w:t xml:space="preserve"> – </w:t>
    </w:r>
    <w:r w:rsidR="00B50DAF">
      <w:t>5 February</w:t>
    </w:r>
    <w:r>
      <w:t xml:space="preserve"> 20</w:t>
    </w:r>
    <w:r w:rsidR="002E6AD2">
      <w:t>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1A49C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32CF45B" w:rsidR="00064168" w:rsidRDefault="00FD1348" w:rsidP="00034B00">
    <w:pPr>
      <w:pStyle w:val="Footer"/>
      <w:tabs>
        <w:tab w:val="clear" w:pos="9026"/>
        <w:tab w:val="right" w:pos="10466"/>
      </w:tabs>
      <w:jc w:val="left"/>
    </w:pPr>
    <w:r>
      <w:rPr>
        <w:b/>
      </w:rPr>
      <w:t xml:space="preserve">Single Operator, single use peroral </w:t>
    </w:r>
    <w:proofErr w:type="spellStart"/>
    <w:r>
      <w:rPr>
        <w:b/>
      </w:rPr>
      <w:t>cholangiopancreatoscopy</w:t>
    </w:r>
    <w:proofErr w:type="spellEnd"/>
    <w:r w:rsidR="00034B00">
      <w:rPr>
        <w:b/>
      </w:rPr>
      <w:t xml:space="preserve"> (POCPS)</w:t>
    </w:r>
    <w:r w:rsidR="00064168" w:rsidRPr="00E863C4">
      <w:rPr>
        <w:b/>
      </w:rPr>
      <w:t xml:space="preserve"> </w:t>
    </w:r>
    <w:r w:rsidR="00EB55DD">
      <w:rPr>
        <w:b/>
      </w:rPr>
      <w:t>for diagnosis</w:t>
    </w:r>
    <w:r w:rsidR="00965837">
      <w:rPr>
        <w:b/>
      </w:rPr>
      <w:t xml:space="preserve"> of indeterminate biliary strictures</w:t>
    </w:r>
    <w:r w:rsidR="00EB55DD">
      <w:rPr>
        <w:b/>
      </w:rPr>
      <w:t xml:space="preserve"> and removal of difficult bil</w:t>
    </w:r>
    <w:r w:rsidR="00B203CC">
      <w:rPr>
        <w:b/>
      </w:rPr>
      <w:t>i</w:t>
    </w:r>
    <w:r w:rsidR="00EB55DD">
      <w:rPr>
        <w:b/>
      </w:rPr>
      <w:t>ary stones</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1A49C9" w:rsidP="00064168">
    <w:pPr>
      <w:pStyle w:val="Footer"/>
      <w:jc w:val="left"/>
      <w:rPr>
        <w:rStyle w:val="Hyperlink"/>
        <w:szCs w:val="18"/>
      </w:rPr>
    </w:pPr>
    <w:hyperlink r:id="rId1" w:history="1">
      <w:r w:rsidR="00064168" w:rsidRPr="00E863C4">
        <w:rPr>
          <w:rStyle w:val="Hyperlink"/>
          <w:szCs w:val="18"/>
        </w:rPr>
        <w:t>MBS Online</w:t>
      </w:r>
    </w:hyperlink>
  </w:p>
  <w:p w14:paraId="03585E81" w14:textId="05DB62AA" w:rsidR="00064168" w:rsidRPr="009B32BA" w:rsidRDefault="00064168" w:rsidP="00064168">
    <w:pPr>
      <w:pStyle w:val="Footer"/>
      <w:jc w:val="left"/>
      <w:rPr>
        <w:szCs w:val="18"/>
      </w:rPr>
    </w:pPr>
    <w:r w:rsidRPr="00870B05">
      <w:t>Last updated</w:t>
    </w:r>
    <w:r>
      <w:t xml:space="preserve"> –</w:t>
    </w:r>
    <w:r w:rsidR="00610799">
      <w:t xml:space="preserve"> </w:t>
    </w:r>
    <w:r w:rsidR="00B50DAF">
      <w:t>5 February</w:t>
    </w:r>
    <w:r w:rsidR="00610799">
      <w:t xml:space="preserve"> </w:t>
    </w:r>
    <w:r w:rsidR="00FC5702">
      <w:t>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C0B7" w14:textId="77777777" w:rsidR="001B4F66" w:rsidRDefault="001B4F66" w:rsidP="006B56BB">
      <w:r>
        <w:separator/>
      </w:r>
    </w:p>
    <w:p w14:paraId="4EAC0FFC" w14:textId="77777777" w:rsidR="001B4F66" w:rsidRDefault="001B4F66"/>
  </w:footnote>
  <w:footnote w:type="continuationSeparator" w:id="0">
    <w:p w14:paraId="7E396926" w14:textId="77777777" w:rsidR="001B4F66" w:rsidRDefault="001B4F66" w:rsidP="006B56BB">
      <w:r>
        <w:continuationSeparator/>
      </w:r>
    </w:p>
    <w:p w14:paraId="7B83D55B" w14:textId="77777777" w:rsidR="001B4F66" w:rsidRDefault="001B4F66"/>
  </w:footnote>
  <w:footnote w:type="continuationNotice" w:id="1">
    <w:p w14:paraId="20889DCC" w14:textId="77777777" w:rsidR="001B4F66" w:rsidRDefault="001B4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086808"/>
    <w:multiLevelType w:val="multilevel"/>
    <w:tmpl w:val="9CC6CF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7"/>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5"/>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0"/>
  </w:num>
  <w:num w:numId="18" w16cid:durableId="828592903">
    <w:abstractNumId w:val="12"/>
  </w:num>
  <w:num w:numId="19" w16cid:durableId="1273391997">
    <w:abstractNumId w:val="14"/>
  </w:num>
  <w:num w:numId="20" w16cid:durableId="2041469188">
    <w:abstractNumId w:val="10"/>
  </w:num>
  <w:num w:numId="21" w16cid:durableId="120997448">
    <w:abstractNumId w:val="14"/>
  </w:num>
  <w:num w:numId="22" w16cid:durableId="1088427743">
    <w:abstractNumId w:val="21"/>
  </w:num>
  <w:num w:numId="23" w16cid:durableId="111368400">
    <w:abstractNumId w:val="17"/>
  </w:num>
  <w:num w:numId="24" w16cid:durableId="815339056">
    <w:abstractNumId w:val="20"/>
  </w:num>
  <w:num w:numId="25" w16cid:durableId="743180995">
    <w:abstractNumId w:val="8"/>
  </w:num>
  <w:num w:numId="26" w16cid:durableId="320358050">
    <w:abstractNumId w:val="16"/>
  </w:num>
  <w:num w:numId="27" w16cid:durableId="508569404">
    <w:abstractNumId w:val="11"/>
  </w:num>
  <w:num w:numId="28" w16cid:durableId="1416364898">
    <w:abstractNumId w:val="13"/>
  </w:num>
  <w:num w:numId="29" w16cid:durableId="1497500466">
    <w:abstractNumId w:val="11"/>
  </w:num>
  <w:num w:numId="30" w16cid:durableId="238096510">
    <w:abstractNumId w:val="11"/>
  </w:num>
  <w:num w:numId="31" w16cid:durableId="18398106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9FD"/>
    <w:rsid w:val="00003743"/>
    <w:rsid w:val="000047B4"/>
    <w:rsid w:val="00005712"/>
    <w:rsid w:val="00007FD8"/>
    <w:rsid w:val="000117F8"/>
    <w:rsid w:val="0001460F"/>
    <w:rsid w:val="00021470"/>
    <w:rsid w:val="000225D1"/>
    <w:rsid w:val="00022629"/>
    <w:rsid w:val="000243B0"/>
    <w:rsid w:val="00024DFE"/>
    <w:rsid w:val="00026139"/>
    <w:rsid w:val="00027601"/>
    <w:rsid w:val="00033321"/>
    <w:rsid w:val="000338E5"/>
    <w:rsid w:val="00033ECC"/>
    <w:rsid w:val="0003422F"/>
    <w:rsid w:val="00034B00"/>
    <w:rsid w:val="0003589D"/>
    <w:rsid w:val="00036BDA"/>
    <w:rsid w:val="000422C9"/>
    <w:rsid w:val="00046FF0"/>
    <w:rsid w:val="00050176"/>
    <w:rsid w:val="00050342"/>
    <w:rsid w:val="00053462"/>
    <w:rsid w:val="0005354E"/>
    <w:rsid w:val="000606A7"/>
    <w:rsid w:val="00064168"/>
    <w:rsid w:val="00065D89"/>
    <w:rsid w:val="00067456"/>
    <w:rsid w:val="00071506"/>
    <w:rsid w:val="0007154F"/>
    <w:rsid w:val="00080BAC"/>
    <w:rsid w:val="00081AB1"/>
    <w:rsid w:val="0008296C"/>
    <w:rsid w:val="00083B41"/>
    <w:rsid w:val="00090316"/>
    <w:rsid w:val="00093981"/>
    <w:rsid w:val="00094972"/>
    <w:rsid w:val="000B067A"/>
    <w:rsid w:val="000B1540"/>
    <w:rsid w:val="000B1E53"/>
    <w:rsid w:val="000B23EE"/>
    <w:rsid w:val="000B33FD"/>
    <w:rsid w:val="000B4ABA"/>
    <w:rsid w:val="000C4B16"/>
    <w:rsid w:val="000C50C3"/>
    <w:rsid w:val="000C5E14"/>
    <w:rsid w:val="000D21F6"/>
    <w:rsid w:val="000D24C3"/>
    <w:rsid w:val="000D4500"/>
    <w:rsid w:val="000D7AEA"/>
    <w:rsid w:val="000E2C66"/>
    <w:rsid w:val="000F123C"/>
    <w:rsid w:val="000F2FED"/>
    <w:rsid w:val="0010616D"/>
    <w:rsid w:val="00106FEE"/>
    <w:rsid w:val="00110478"/>
    <w:rsid w:val="0011097C"/>
    <w:rsid w:val="00116E91"/>
    <w:rsid w:val="0011711B"/>
    <w:rsid w:val="00117F8A"/>
    <w:rsid w:val="00121B9B"/>
    <w:rsid w:val="00122ADC"/>
    <w:rsid w:val="001245EF"/>
    <w:rsid w:val="00130F59"/>
    <w:rsid w:val="00131F1C"/>
    <w:rsid w:val="00133EC0"/>
    <w:rsid w:val="00141CE5"/>
    <w:rsid w:val="00144908"/>
    <w:rsid w:val="00156D96"/>
    <w:rsid w:val="001571C7"/>
    <w:rsid w:val="00161094"/>
    <w:rsid w:val="0017163C"/>
    <w:rsid w:val="0017665C"/>
    <w:rsid w:val="00177AD2"/>
    <w:rsid w:val="001815A8"/>
    <w:rsid w:val="00182952"/>
    <w:rsid w:val="001840FA"/>
    <w:rsid w:val="00190079"/>
    <w:rsid w:val="0019622E"/>
    <w:rsid w:val="001966A7"/>
    <w:rsid w:val="00196F96"/>
    <w:rsid w:val="001A4627"/>
    <w:rsid w:val="001A4979"/>
    <w:rsid w:val="001A7AFD"/>
    <w:rsid w:val="001B15D3"/>
    <w:rsid w:val="001B3443"/>
    <w:rsid w:val="001B4F66"/>
    <w:rsid w:val="001C0326"/>
    <w:rsid w:val="001C192F"/>
    <w:rsid w:val="001C3C42"/>
    <w:rsid w:val="001C6FC4"/>
    <w:rsid w:val="001D3765"/>
    <w:rsid w:val="001D7869"/>
    <w:rsid w:val="001E40B2"/>
    <w:rsid w:val="001E6AA7"/>
    <w:rsid w:val="002026CD"/>
    <w:rsid w:val="002033FC"/>
    <w:rsid w:val="002044BB"/>
    <w:rsid w:val="00205BF8"/>
    <w:rsid w:val="00210B09"/>
    <w:rsid w:val="00210C9E"/>
    <w:rsid w:val="00211840"/>
    <w:rsid w:val="0021465A"/>
    <w:rsid w:val="00220E5F"/>
    <w:rsid w:val="002212B5"/>
    <w:rsid w:val="00226668"/>
    <w:rsid w:val="00233809"/>
    <w:rsid w:val="00240046"/>
    <w:rsid w:val="00244D4E"/>
    <w:rsid w:val="0024797F"/>
    <w:rsid w:val="0025119E"/>
    <w:rsid w:val="0025120F"/>
    <w:rsid w:val="00251269"/>
    <w:rsid w:val="00251DCE"/>
    <w:rsid w:val="002535C0"/>
    <w:rsid w:val="00256EC6"/>
    <w:rsid w:val="002579FE"/>
    <w:rsid w:val="00260552"/>
    <w:rsid w:val="0026311C"/>
    <w:rsid w:val="0026668C"/>
    <w:rsid w:val="00266AC1"/>
    <w:rsid w:val="0027178C"/>
    <w:rsid w:val="00271954"/>
    <w:rsid w:val="002719FA"/>
    <w:rsid w:val="00272668"/>
    <w:rsid w:val="0027330B"/>
    <w:rsid w:val="002803AD"/>
    <w:rsid w:val="00282052"/>
    <w:rsid w:val="002831A3"/>
    <w:rsid w:val="00283ABD"/>
    <w:rsid w:val="0028519E"/>
    <w:rsid w:val="002856A5"/>
    <w:rsid w:val="002872ED"/>
    <w:rsid w:val="002905C2"/>
    <w:rsid w:val="00291F2D"/>
    <w:rsid w:val="00295AF2"/>
    <w:rsid w:val="00295C91"/>
    <w:rsid w:val="00297151"/>
    <w:rsid w:val="002B20E6"/>
    <w:rsid w:val="002B42A3"/>
    <w:rsid w:val="002C0CDD"/>
    <w:rsid w:val="002C38C4"/>
    <w:rsid w:val="002C46AA"/>
    <w:rsid w:val="002D1E49"/>
    <w:rsid w:val="002D5F82"/>
    <w:rsid w:val="002D7CF0"/>
    <w:rsid w:val="002E1A1D"/>
    <w:rsid w:val="002E4081"/>
    <w:rsid w:val="002E4ADD"/>
    <w:rsid w:val="002E5B78"/>
    <w:rsid w:val="002E6AD2"/>
    <w:rsid w:val="002F3AE3"/>
    <w:rsid w:val="0030464B"/>
    <w:rsid w:val="0030786C"/>
    <w:rsid w:val="003233DE"/>
    <w:rsid w:val="00323A56"/>
    <w:rsid w:val="0032466B"/>
    <w:rsid w:val="00330FDB"/>
    <w:rsid w:val="003330EB"/>
    <w:rsid w:val="00340D6C"/>
    <w:rsid w:val="003415FD"/>
    <w:rsid w:val="003429F0"/>
    <w:rsid w:val="00345A82"/>
    <w:rsid w:val="0035097A"/>
    <w:rsid w:val="003540A4"/>
    <w:rsid w:val="00357BCC"/>
    <w:rsid w:val="00360E4E"/>
    <w:rsid w:val="00363E32"/>
    <w:rsid w:val="00364DED"/>
    <w:rsid w:val="00370AAA"/>
    <w:rsid w:val="00375F77"/>
    <w:rsid w:val="00381BBE"/>
    <w:rsid w:val="00382903"/>
    <w:rsid w:val="003846FF"/>
    <w:rsid w:val="003857D4"/>
    <w:rsid w:val="00385AD4"/>
    <w:rsid w:val="00385C01"/>
    <w:rsid w:val="00387924"/>
    <w:rsid w:val="0039255A"/>
    <w:rsid w:val="0039384D"/>
    <w:rsid w:val="00395C23"/>
    <w:rsid w:val="003A2E4F"/>
    <w:rsid w:val="003A4438"/>
    <w:rsid w:val="003A45D1"/>
    <w:rsid w:val="003A5013"/>
    <w:rsid w:val="003A5078"/>
    <w:rsid w:val="003A62DD"/>
    <w:rsid w:val="003A76E6"/>
    <w:rsid w:val="003A775A"/>
    <w:rsid w:val="003B213A"/>
    <w:rsid w:val="003B43AD"/>
    <w:rsid w:val="003B7EDA"/>
    <w:rsid w:val="003C0FEC"/>
    <w:rsid w:val="003C2AC8"/>
    <w:rsid w:val="003D033A"/>
    <w:rsid w:val="003D17F9"/>
    <w:rsid w:val="003D2D88"/>
    <w:rsid w:val="003D41EA"/>
    <w:rsid w:val="003D4850"/>
    <w:rsid w:val="003D535A"/>
    <w:rsid w:val="003D62EA"/>
    <w:rsid w:val="003E5265"/>
    <w:rsid w:val="003F0955"/>
    <w:rsid w:val="003F1C08"/>
    <w:rsid w:val="003F40AD"/>
    <w:rsid w:val="003F40F4"/>
    <w:rsid w:val="003F5F4D"/>
    <w:rsid w:val="003F646F"/>
    <w:rsid w:val="00400F00"/>
    <w:rsid w:val="00404F8B"/>
    <w:rsid w:val="00405256"/>
    <w:rsid w:val="00405ADD"/>
    <w:rsid w:val="00410031"/>
    <w:rsid w:val="0041073F"/>
    <w:rsid w:val="00415C81"/>
    <w:rsid w:val="0041608F"/>
    <w:rsid w:val="00417947"/>
    <w:rsid w:val="00432378"/>
    <w:rsid w:val="00433D83"/>
    <w:rsid w:val="00440D65"/>
    <w:rsid w:val="004435E6"/>
    <w:rsid w:val="00446D59"/>
    <w:rsid w:val="00447511"/>
    <w:rsid w:val="00447E31"/>
    <w:rsid w:val="00453923"/>
    <w:rsid w:val="00454B9B"/>
    <w:rsid w:val="00457858"/>
    <w:rsid w:val="00460B0B"/>
    <w:rsid w:val="00461023"/>
    <w:rsid w:val="00462FAC"/>
    <w:rsid w:val="00464631"/>
    <w:rsid w:val="00464B79"/>
    <w:rsid w:val="00467BBF"/>
    <w:rsid w:val="0048593C"/>
    <w:rsid w:val="004867E2"/>
    <w:rsid w:val="004929A9"/>
    <w:rsid w:val="004A0805"/>
    <w:rsid w:val="004A78D9"/>
    <w:rsid w:val="004B4025"/>
    <w:rsid w:val="004B5CAC"/>
    <w:rsid w:val="004C1BCD"/>
    <w:rsid w:val="004C6BCF"/>
    <w:rsid w:val="004D58BF"/>
    <w:rsid w:val="004E4335"/>
    <w:rsid w:val="004E5226"/>
    <w:rsid w:val="004F13EE"/>
    <w:rsid w:val="004F2022"/>
    <w:rsid w:val="004F656F"/>
    <w:rsid w:val="004F7C05"/>
    <w:rsid w:val="005011F6"/>
    <w:rsid w:val="005017B3"/>
    <w:rsid w:val="00501C94"/>
    <w:rsid w:val="00501ED3"/>
    <w:rsid w:val="00506432"/>
    <w:rsid w:val="00506E82"/>
    <w:rsid w:val="0052051D"/>
    <w:rsid w:val="00525E48"/>
    <w:rsid w:val="00545EE6"/>
    <w:rsid w:val="005550E7"/>
    <w:rsid w:val="005564FB"/>
    <w:rsid w:val="005572C7"/>
    <w:rsid w:val="005650ED"/>
    <w:rsid w:val="00575754"/>
    <w:rsid w:val="00581FBA"/>
    <w:rsid w:val="005858A4"/>
    <w:rsid w:val="005876A8"/>
    <w:rsid w:val="0059119A"/>
    <w:rsid w:val="00591628"/>
    <w:rsid w:val="00591E20"/>
    <w:rsid w:val="00595408"/>
    <w:rsid w:val="00595E84"/>
    <w:rsid w:val="005A0C59"/>
    <w:rsid w:val="005A48EB"/>
    <w:rsid w:val="005A6CFB"/>
    <w:rsid w:val="005C584A"/>
    <w:rsid w:val="005C5AEB"/>
    <w:rsid w:val="005C667E"/>
    <w:rsid w:val="005D5F4E"/>
    <w:rsid w:val="005E0A3F"/>
    <w:rsid w:val="005E1AF9"/>
    <w:rsid w:val="005E1F6E"/>
    <w:rsid w:val="005E2D76"/>
    <w:rsid w:val="005E3318"/>
    <w:rsid w:val="005E6883"/>
    <w:rsid w:val="005E772F"/>
    <w:rsid w:val="005F4ECA"/>
    <w:rsid w:val="00604118"/>
    <w:rsid w:val="006041BE"/>
    <w:rsid w:val="006043C7"/>
    <w:rsid w:val="00610799"/>
    <w:rsid w:val="00624B52"/>
    <w:rsid w:val="00630794"/>
    <w:rsid w:val="00631DF4"/>
    <w:rsid w:val="00634175"/>
    <w:rsid w:val="0063574E"/>
    <w:rsid w:val="006408AC"/>
    <w:rsid w:val="00642F20"/>
    <w:rsid w:val="00644135"/>
    <w:rsid w:val="006511B6"/>
    <w:rsid w:val="00652ED1"/>
    <w:rsid w:val="00653347"/>
    <w:rsid w:val="00657FF8"/>
    <w:rsid w:val="00670D99"/>
    <w:rsid w:val="00670E2B"/>
    <w:rsid w:val="006734BB"/>
    <w:rsid w:val="0067697A"/>
    <w:rsid w:val="006821EB"/>
    <w:rsid w:val="00686165"/>
    <w:rsid w:val="006A22AD"/>
    <w:rsid w:val="006B2286"/>
    <w:rsid w:val="006B56BB"/>
    <w:rsid w:val="006C085B"/>
    <w:rsid w:val="006C77A8"/>
    <w:rsid w:val="006D4098"/>
    <w:rsid w:val="006D67F4"/>
    <w:rsid w:val="006D7681"/>
    <w:rsid w:val="006D7B2E"/>
    <w:rsid w:val="006E02EA"/>
    <w:rsid w:val="006E0968"/>
    <w:rsid w:val="006E14C1"/>
    <w:rsid w:val="006E2AF6"/>
    <w:rsid w:val="006E52C4"/>
    <w:rsid w:val="006E795F"/>
    <w:rsid w:val="006F5073"/>
    <w:rsid w:val="006F58C7"/>
    <w:rsid w:val="00701275"/>
    <w:rsid w:val="00702942"/>
    <w:rsid w:val="00707F56"/>
    <w:rsid w:val="00713558"/>
    <w:rsid w:val="0071744A"/>
    <w:rsid w:val="00720D08"/>
    <w:rsid w:val="007263B9"/>
    <w:rsid w:val="0073228A"/>
    <w:rsid w:val="007329BA"/>
    <w:rsid w:val="007334F8"/>
    <w:rsid w:val="007339CD"/>
    <w:rsid w:val="007359D8"/>
    <w:rsid w:val="007362D4"/>
    <w:rsid w:val="00744227"/>
    <w:rsid w:val="00761A34"/>
    <w:rsid w:val="0076672A"/>
    <w:rsid w:val="00775E45"/>
    <w:rsid w:val="00776E74"/>
    <w:rsid w:val="00782F94"/>
    <w:rsid w:val="00784252"/>
    <w:rsid w:val="00785169"/>
    <w:rsid w:val="007900E9"/>
    <w:rsid w:val="007954AB"/>
    <w:rsid w:val="007966E6"/>
    <w:rsid w:val="007A14C5"/>
    <w:rsid w:val="007A4A10"/>
    <w:rsid w:val="007A6FC8"/>
    <w:rsid w:val="007B1750"/>
    <w:rsid w:val="007B1760"/>
    <w:rsid w:val="007C1FDC"/>
    <w:rsid w:val="007C31DD"/>
    <w:rsid w:val="007C6D9C"/>
    <w:rsid w:val="007C7DDB"/>
    <w:rsid w:val="007D2CC7"/>
    <w:rsid w:val="007D673D"/>
    <w:rsid w:val="007D778F"/>
    <w:rsid w:val="007E0068"/>
    <w:rsid w:val="007E0FB8"/>
    <w:rsid w:val="007E2171"/>
    <w:rsid w:val="007E4D09"/>
    <w:rsid w:val="007E5D29"/>
    <w:rsid w:val="007E76F5"/>
    <w:rsid w:val="007F2220"/>
    <w:rsid w:val="007F4B3E"/>
    <w:rsid w:val="00802703"/>
    <w:rsid w:val="00810E31"/>
    <w:rsid w:val="008127AF"/>
    <w:rsid w:val="00812B46"/>
    <w:rsid w:val="00815700"/>
    <w:rsid w:val="0082246B"/>
    <w:rsid w:val="00824B39"/>
    <w:rsid w:val="008264EB"/>
    <w:rsid w:val="00826B8F"/>
    <w:rsid w:val="0083098C"/>
    <w:rsid w:val="00831E8A"/>
    <w:rsid w:val="00832023"/>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15E4"/>
    <w:rsid w:val="0089677E"/>
    <w:rsid w:val="008A7438"/>
    <w:rsid w:val="008B1334"/>
    <w:rsid w:val="008B1C2B"/>
    <w:rsid w:val="008B25C7"/>
    <w:rsid w:val="008B7CBB"/>
    <w:rsid w:val="008C0278"/>
    <w:rsid w:val="008C1182"/>
    <w:rsid w:val="008C24E9"/>
    <w:rsid w:val="008D0533"/>
    <w:rsid w:val="008D42CB"/>
    <w:rsid w:val="008D48C9"/>
    <w:rsid w:val="008D6381"/>
    <w:rsid w:val="008D7C23"/>
    <w:rsid w:val="008E0C77"/>
    <w:rsid w:val="008E625F"/>
    <w:rsid w:val="008F264D"/>
    <w:rsid w:val="0090368E"/>
    <w:rsid w:val="009040E9"/>
    <w:rsid w:val="009074E1"/>
    <w:rsid w:val="009112F7"/>
    <w:rsid w:val="009122AF"/>
    <w:rsid w:val="00912700"/>
    <w:rsid w:val="00912D54"/>
    <w:rsid w:val="0091389F"/>
    <w:rsid w:val="009208F7"/>
    <w:rsid w:val="00921649"/>
    <w:rsid w:val="00922517"/>
    <w:rsid w:val="00922722"/>
    <w:rsid w:val="009261E6"/>
    <w:rsid w:val="009268E1"/>
    <w:rsid w:val="00926FB3"/>
    <w:rsid w:val="009271EE"/>
    <w:rsid w:val="009344AE"/>
    <w:rsid w:val="009344DE"/>
    <w:rsid w:val="00935612"/>
    <w:rsid w:val="00937650"/>
    <w:rsid w:val="00945E7F"/>
    <w:rsid w:val="009502A4"/>
    <w:rsid w:val="009557C1"/>
    <w:rsid w:val="00960D6E"/>
    <w:rsid w:val="009619F4"/>
    <w:rsid w:val="00965837"/>
    <w:rsid w:val="00971795"/>
    <w:rsid w:val="00974B59"/>
    <w:rsid w:val="00981618"/>
    <w:rsid w:val="0098340B"/>
    <w:rsid w:val="00986830"/>
    <w:rsid w:val="009924C3"/>
    <w:rsid w:val="00993102"/>
    <w:rsid w:val="009B1570"/>
    <w:rsid w:val="009B3B3E"/>
    <w:rsid w:val="009C1A73"/>
    <w:rsid w:val="009C6F10"/>
    <w:rsid w:val="009D148F"/>
    <w:rsid w:val="009D3D70"/>
    <w:rsid w:val="009E4B6B"/>
    <w:rsid w:val="009E63ED"/>
    <w:rsid w:val="009E6F7E"/>
    <w:rsid w:val="009E7A57"/>
    <w:rsid w:val="009F2A0A"/>
    <w:rsid w:val="009F4803"/>
    <w:rsid w:val="009F4F6A"/>
    <w:rsid w:val="00A13EB5"/>
    <w:rsid w:val="00A16E36"/>
    <w:rsid w:val="00A24961"/>
    <w:rsid w:val="00A24B10"/>
    <w:rsid w:val="00A25921"/>
    <w:rsid w:val="00A277EF"/>
    <w:rsid w:val="00A30E9B"/>
    <w:rsid w:val="00A4260F"/>
    <w:rsid w:val="00A44984"/>
    <w:rsid w:val="00A4512D"/>
    <w:rsid w:val="00A50244"/>
    <w:rsid w:val="00A570A2"/>
    <w:rsid w:val="00A627D7"/>
    <w:rsid w:val="00A656C7"/>
    <w:rsid w:val="00A705AF"/>
    <w:rsid w:val="00A719F6"/>
    <w:rsid w:val="00A72454"/>
    <w:rsid w:val="00A74579"/>
    <w:rsid w:val="00A77696"/>
    <w:rsid w:val="00A779F7"/>
    <w:rsid w:val="00A80557"/>
    <w:rsid w:val="00A81D33"/>
    <w:rsid w:val="00A82121"/>
    <w:rsid w:val="00A8341C"/>
    <w:rsid w:val="00A910D2"/>
    <w:rsid w:val="00A930AE"/>
    <w:rsid w:val="00AA1A95"/>
    <w:rsid w:val="00AA260F"/>
    <w:rsid w:val="00AA460C"/>
    <w:rsid w:val="00AB198B"/>
    <w:rsid w:val="00AB1EE7"/>
    <w:rsid w:val="00AB4B37"/>
    <w:rsid w:val="00AB5762"/>
    <w:rsid w:val="00AC2679"/>
    <w:rsid w:val="00AC4BE4"/>
    <w:rsid w:val="00AD05E6"/>
    <w:rsid w:val="00AD0D3F"/>
    <w:rsid w:val="00AD3012"/>
    <w:rsid w:val="00AD422F"/>
    <w:rsid w:val="00AE1D7D"/>
    <w:rsid w:val="00AE2A8B"/>
    <w:rsid w:val="00AE3F64"/>
    <w:rsid w:val="00AF54D3"/>
    <w:rsid w:val="00AF7386"/>
    <w:rsid w:val="00AF7934"/>
    <w:rsid w:val="00B00B81"/>
    <w:rsid w:val="00B020DC"/>
    <w:rsid w:val="00B04580"/>
    <w:rsid w:val="00B04B09"/>
    <w:rsid w:val="00B114D2"/>
    <w:rsid w:val="00B1405C"/>
    <w:rsid w:val="00B16A51"/>
    <w:rsid w:val="00B203CC"/>
    <w:rsid w:val="00B2042F"/>
    <w:rsid w:val="00B250D3"/>
    <w:rsid w:val="00B26AA7"/>
    <w:rsid w:val="00B32222"/>
    <w:rsid w:val="00B3618D"/>
    <w:rsid w:val="00B36233"/>
    <w:rsid w:val="00B42851"/>
    <w:rsid w:val="00B4448E"/>
    <w:rsid w:val="00B45350"/>
    <w:rsid w:val="00B45AC7"/>
    <w:rsid w:val="00B50DAF"/>
    <w:rsid w:val="00B5372F"/>
    <w:rsid w:val="00B53987"/>
    <w:rsid w:val="00B56A8A"/>
    <w:rsid w:val="00B61129"/>
    <w:rsid w:val="00B635FB"/>
    <w:rsid w:val="00B67E7F"/>
    <w:rsid w:val="00B76DB3"/>
    <w:rsid w:val="00B839B2"/>
    <w:rsid w:val="00B93D07"/>
    <w:rsid w:val="00B94252"/>
    <w:rsid w:val="00B9715A"/>
    <w:rsid w:val="00BA14BE"/>
    <w:rsid w:val="00BA2732"/>
    <w:rsid w:val="00BA293D"/>
    <w:rsid w:val="00BA49BC"/>
    <w:rsid w:val="00BA56B7"/>
    <w:rsid w:val="00BA6B42"/>
    <w:rsid w:val="00BA7A1E"/>
    <w:rsid w:val="00BB2F6C"/>
    <w:rsid w:val="00BB3875"/>
    <w:rsid w:val="00BB5860"/>
    <w:rsid w:val="00BB6AAD"/>
    <w:rsid w:val="00BC4A19"/>
    <w:rsid w:val="00BC4E6D"/>
    <w:rsid w:val="00BD0617"/>
    <w:rsid w:val="00BD0A9E"/>
    <w:rsid w:val="00BD2175"/>
    <w:rsid w:val="00BD2E9B"/>
    <w:rsid w:val="00BD7FB2"/>
    <w:rsid w:val="00BE053D"/>
    <w:rsid w:val="00BE3ED5"/>
    <w:rsid w:val="00BE6898"/>
    <w:rsid w:val="00C00930"/>
    <w:rsid w:val="00C00FE8"/>
    <w:rsid w:val="00C060AD"/>
    <w:rsid w:val="00C06AB1"/>
    <w:rsid w:val="00C113BF"/>
    <w:rsid w:val="00C14F24"/>
    <w:rsid w:val="00C20E65"/>
    <w:rsid w:val="00C215E9"/>
    <w:rsid w:val="00C2176E"/>
    <w:rsid w:val="00C23430"/>
    <w:rsid w:val="00C27D67"/>
    <w:rsid w:val="00C435AF"/>
    <w:rsid w:val="00C4631F"/>
    <w:rsid w:val="00C47CDE"/>
    <w:rsid w:val="00C50E16"/>
    <w:rsid w:val="00C54A56"/>
    <w:rsid w:val="00C55258"/>
    <w:rsid w:val="00C6092C"/>
    <w:rsid w:val="00C63141"/>
    <w:rsid w:val="00C675DB"/>
    <w:rsid w:val="00C72B39"/>
    <w:rsid w:val="00C73CA6"/>
    <w:rsid w:val="00C75FA3"/>
    <w:rsid w:val="00C82EEB"/>
    <w:rsid w:val="00C971DC"/>
    <w:rsid w:val="00CA16B7"/>
    <w:rsid w:val="00CA62AE"/>
    <w:rsid w:val="00CB03B8"/>
    <w:rsid w:val="00CB5B1A"/>
    <w:rsid w:val="00CC220B"/>
    <w:rsid w:val="00CC5C43"/>
    <w:rsid w:val="00CD02AE"/>
    <w:rsid w:val="00CD2A4F"/>
    <w:rsid w:val="00CD5B07"/>
    <w:rsid w:val="00CE03CA"/>
    <w:rsid w:val="00CE22F1"/>
    <w:rsid w:val="00CE50F2"/>
    <w:rsid w:val="00CE6502"/>
    <w:rsid w:val="00CF5224"/>
    <w:rsid w:val="00CF676B"/>
    <w:rsid w:val="00CF70EF"/>
    <w:rsid w:val="00CF7D3C"/>
    <w:rsid w:val="00D01F09"/>
    <w:rsid w:val="00D03527"/>
    <w:rsid w:val="00D147EB"/>
    <w:rsid w:val="00D34667"/>
    <w:rsid w:val="00D401E1"/>
    <w:rsid w:val="00D408B4"/>
    <w:rsid w:val="00D426E3"/>
    <w:rsid w:val="00D44330"/>
    <w:rsid w:val="00D50D67"/>
    <w:rsid w:val="00D524C8"/>
    <w:rsid w:val="00D70E24"/>
    <w:rsid w:val="00D72B61"/>
    <w:rsid w:val="00D734C6"/>
    <w:rsid w:val="00D81B8F"/>
    <w:rsid w:val="00D86C73"/>
    <w:rsid w:val="00D94B54"/>
    <w:rsid w:val="00DA3D1D"/>
    <w:rsid w:val="00DB6286"/>
    <w:rsid w:val="00DB645F"/>
    <w:rsid w:val="00DB76E9"/>
    <w:rsid w:val="00DC0A67"/>
    <w:rsid w:val="00DC1D5E"/>
    <w:rsid w:val="00DC5220"/>
    <w:rsid w:val="00DD2061"/>
    <w:rsid w:val="00DD7DAB"/>
    <w:rsid w:val="00DE2B88"/>
    <w:rsid w:val="00DE3355"/>
    <w:rsid w:val="00DF0C60"/>
    <w:rsid w:val="00DF486F"/>
    <w:rsid w:val="00DF5B5B"/>
    <w:rsid w:val="00DF7619"/>
    <w:rsid w:val="00E042D8"/>
    <w:rsid w:val="00E07EE7"/>
    <w:rsid w:val="00E1103B"/>
    <w:rsid w:val="00E17B44"/>
    <w:rsid w:val="00E17F75"/>
    <w:rsid w:val="00E20F27"/>
    <w:rsid w:val="00E21BDB"/>
    <w:rsid w:val="00E22443"/>
    <w:rsid w:val="00E25B1F"/>
    <w:rsid w:val="00E27FEA"/>
    <w:rsid w:val="00E326A5"/>
    <w:rsid w:val="00E34B58"/>
    <w:rsid w:val="00E37C62"/>
    <w:rsid w:val="00E4086F"/>
    <w:rsid w:val="00E43B3C"/>
    <w:rsid w:val="00E50188"/>
    <w:rsid w:val="00E50BB3"/>
    <w:rsid w:val="00E515CB"/>
    <w:rsid w:val="00E52260"/>
    <w:rsid w:val="00E53933"/>
    <w:rsid w:val="00E639B6"/>
    <w:rsid w:val="00E6434B"/>
    <w:rsid w:val="00E6463D"/>
    <w:rsid w:val="00E71492"/>
    <w:rsid w:val="00E72E9B"/>
    <w:rsid w:val="00E737F0"/>
    <w:rsid w:val="00E850C3"/>
    <w:rsid w:val="00E87DF2"/>
    <w:rsid w:val="00E913B6"/>
    <w:rsid w:val="00E93AC9"/>
    <w:rsid w:val="00E9462E"/>
    <w:rsid w:val="00E9613F"/>
    <w:rsid w:val="00EA470E"/>
    <w:rsid w:val="00EA47A7"/>
    <w:rsid w:val="00EA57EB"/>
    <w:rsid w:val="00EB3226"/>
    <w:rsid w:val="00EB55DD"/>
    <w:rsid w:val="00EC213A"/>
    <w:rsid w:val="00EC22C5"/>
    <w:rsid w:val="00EC7744"/>
    <w:rsid w:val="00ED0DAD"/>
    <w:rsid w:val="00ED0F46"/>
    <w:rsid w:val="00ED2373"/>
    <w:rsid w:val="00ED24F9"/>
    <w:rsid w:val="00ED2E38"/>
    <w:rsid w:val="00EE3E8A"/>
    <w:rsid w:val="00EE689C"/>
    <w:rsid w:val="00EF58B8"/>
    <w:rsid w:val="00EF6ECA"/>
    <w:rsid w:val="00F01A39"/>
    <w:rsid w:val="00F024E1"/>
    <w:rsid w:val="00F05441"/>
    <w:rsid w:val="00F06C10"/>
    <w:rsid w:val="00F1096F"/>
    <w:rsid w:val="00F12589"/>
    <w:rsid w:val="00F12595"/>
    <w:rsid w:val="00F13229"/>
    <w:rsid w:val="00F134D9"/>
    <w:rsid w:val="00F1403D"/>
    <w:rsid w:val="00F1463F"/>
    <w:rsid w:val="00F21302"/>
    <w:rsid w:val="00F2430D"/>
    <w:rsid w:val="00F256D1"/>
    <w:rsid w:val="00F321DE"/>
    <w:rsid w:val="00F33777"/>
    <w:rsid w:val="00F40648"/>
    <w:rsid w:val="00F4244F"/>
    <w:rsid w:val="00F47DA2"/>
    <w:rsid w:val="00F51321"/>
    <w:rsid w:val="00F519FC"/>
    <w:rsid w:val="00F55B10"/>
    <w:rsid w:val="00F6239D"/>
    <w:rsid w:val="00F64E0A"/>
    <w:rsid w:val="00F715D2"/>
    <w:rsid w:val="00F7274F"/>
    <w:rsid w:val="00F74E84"/>
    <w:rsid w:val="00F75DBA"/>
    <w:rsid w:val="00F76FA8"/>
    <w:rsid w:val="00F77F36"/>
    <w:rsid w:val="00F85AFE"/>
    <w:rsid w:val="00F91588"/>
    <w:rsid w:val="00F93F08"/>
    <w:rsid w:val="00F9468A"/>
    <w:rsid w:val="00F94CED"/>
    <w:rsid w:val="00FA02BB"/>
    <w:rsid w:val="00FA2CEE"/>
    <w:rsid w:val="00FA318C"/>
    <w:rsid w:val="00FA4875"/>
    <w:rsid w:val="00FB515B"/>
    <w:rsid w:val="00FB575C"/>
    <w:rsid w:val="00FB6F92"/>
    <w:rsid w:val="00FC026E"/>
    <w:rsid w:val="00FC5124"/>
    <w:rsid w:val="00FC5702"/>
    <w:rsid w:val="00FC6775"/>
    <w:rsid w:val="00FD1348"/>
    <w:rsid w:val="00FD4731"/>
    <w:rsid w:val="00FD6768"/>
    <w:rsid w:val="00FD683A"/>
    <w:rsid w:val="00FD6A2B"/>
    <w:rsid w:val="00FE0922"/>
    <w:rsid w:val="00FE482E"/>
    <w:rsid w:val="00FF0AB0"/>
    <w:rsid w:val="00FF28AC"/>
    <w:rsid w:val="00FF72A9"/>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customStyle="1" w:styleId="Tablea">
    <w:name w:val="Table(a)"/>
    <w:aliases w:val="ta"/>
    <w:basedOn w:val="Normal"/>
    <w:rsid w:val="00FC5702"/>
    <w:pPr>
      <w:spacing w:before="60" w:after="0" w:line="240" w:lineRule="auto"/>
      <w:ind w:left="284" w:hanging="284"/>
    </w:pPr>
    <w:rPr>
      <w:rFonts w:ascii="Times New Roman" w:hAnsi="Times New Roman"/>
      <w:color w:val="auto"/>
      <w:sz w:val="20"/>
      <w:szCs w:val="20"/>
      <w:lang w:eastAsia="en-AU"/>
    </w:rPr>
  </w:style>
  <w:style w:type="paragraph" w:customStyle="1" w:styleId="Tabletext0">
    <w:name w:val="Tabletext"/>
    <w:aliases w:val="tt"/>
    <w:basedOn w:val="Normal"/>
    <w:link w:val="TabletextChar"/>
    <w:rsid w:val="00FC5702"/>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FC5702"/>
  </w:style>
  <w:style w:type="paragraph" w:styleId="ListParagraph">
    <w:name w:val="List Paragraph"/>
    <w:basedOn w:val="Normal"/>
    <w:uiPriority w:val="34"/>
    <w:qFormat/>
    <w:rsid w:val="00FC5702"/>
    <w:pPr>
      <w:ind w:left="720"/>
      <w:contextualSpacing/>
    </w:pPr>
  </w:style>
  <w:style w:type="character" w:styleId="CommentReference">
    <w:name w:val="annotation reference"/>
    <w:basedOn w:val="DefaultParagraphFont"/>
    <w:semiHidden/>
    <w:unhideWhenUsed/>
    <w:rsid w:val="00FC6775"/>
    <w:rPr>
      <w:sz w:val="16"/>
      <w:szCs w:val="16"/>
    </w:rPr>
  </w:style>
  <w:style w:type="paragraph" w:styleId="CommentSubject">
    <w:name w:val="annotation subject"/>
    <w:basedOn w:val="CommentText"/>
    <w:next w:val="CommentText"/>
    <w:link w:val="CommentSubjectChar"/>
    <w:semiHidden/>
    <w:unhideWhenUsed/>
    <w:rsid w:val="00FC6775"/>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FC6775"/>
    <w:rPr>
      <w:rFonts w:ascii="Arial" w:eastAsiaTheme="minorEastAsia" w:hAnsi="Arial" w:cstheme="minorBidi"/>
      <w:b/>
      <w:bCs/>
      <w:color w:val="000000" w:themeColor="text1"/>
      <w:lang w:eastAsia="en-US"/>
    </w:rPr>
  </w:style>
  <w:style w:type="paragraph" w:customStyle="1" w:styleId="pf0">
    <w:name w:val="pf0"/>
    <w:basedOn w:val="Normal"/>
    <w:rsid w:val="00116E91"/>
    <w:pPr>
      <w:spacing w:before="100" w:beforeAutospacing="1" w:after="100" w:afterAutospacing="1" w:line="240" w:lineRule="auto"/>
    </w:pPr>
    <w:rPr>
      <w:rFonts w:ascii="Times New Roman" w:hAnsi="Times New Roman"/>
      <w:color w:val="auto"/>
      <w:sz w:val="24"/>
      <w:lang w:eastAsia="en-AU"/>
    </w:rPr>
  </w:style>
  <w:style w:type="character" w:customStyle="1" w:styleId="cf01">
    <w:name w:val="cf01"/>
    <w:basedOn w:val="DefaultParagraphFont"/>
    <w:rsid w:val="00116E91"/>
    <w:rPr>
      <w:rFonts w:ascii="Segoe UI" w:hAnsi="Segoe UI" w:cs="Segoe UI" w:hint="default"/>
      <w:sz w:val="18"/>
      <w:szCs w:val="18"/>
    </w:rPr>
  </w:style>
  <w:style w:type="character" w:customStyle="1" w:styleId="cf11">
    <w:name w:val="cf11"/>
    <w:basedOn w:val="DefaultParagraphFont"/>
    <w:rsid w:val="00116E91"/>
    <w:rPr>
      <w:rFonts w:ascii="Segoe UI" w:hAnsi="Segoe UI" w:cs="Segoe UI" w:hint="default"/>
      <w:i/>
      <w:iCs/>
      <w:sz w:val="18"/>
      <w:szCs w:val="18"/>
    </w:rPr>
  </w:style>
  <w:style w:type="character" w:customStyle="1" w:styleId="cf21">
    <w:name w:val="cf21"/>
    <w:basedOn w:val="DefaultParagraphFont"/>
    <w:rsid w:val="00116E91"/>
    <w:rPr>
      <w:rFonts w:ascii="Segoe UI" w:hAnsi="Segoe UI" w:cs="Segoe UI" w:hint="default"/>
      <w:sz w:val="18"/>
      <w:szCs w:val="18"/>
    </w:rPr>
  </w:style>
  <w:style w:type="paragraph" w:customStyle="1" w:styleId="BoxList">
    <w:name w:val="BoxList"/>
    <w:aliases w:val="bl"/>
    <w:basedOn w:val="Normal"/>
    <w:qFormat/>
    <w:rsid w:val="007E5D29"/>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hAnsi="Times New Roman"/>
      <w:color w:val="auto"/>
      <w:szCs w:val="20"/>
      <w:lang w:eastAsia="en-AU"/>
    </w:rPr>
  </w:style>
  <w:style w:type="paragraph" w:customStyle="1" w:styleId="subsection2">
    <w:name w:val="subsection2"/>
    <w:aliases w:val="ss2"/>
    <w:basedOn w:val="Normal"/>
    <w:next w:val="Normal"/>
    <w:rsid w:val="00644135"/>
    <w:pPr>
      <w:spacing w:before="40" w:after="0" w:line="240" w:lineRule="auto"/>
      <w:ind w:left="1134"/>
    </w:pPr>
    <w:rPr>
      <w:rFonts w:ascii="Times New Roman" w:hAnsi="Times New Roman"/>
      <w:color w:val="auto"/>
      <w:szCs w:val="20"/>
      <w:lang w:eastAsia="en-AU"/>
    </w:rPr>
  </w:style>
  <w:style w:type="paragraph" w:styleId="Revision">
    <w:name w:val="Revision"/>
    <w:hidden/>
    <w:uiPriority w:val="99"/>
    <w:semiHidden/>
    <w:rsid w:val="000606A7"/>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1017658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72097559">
      <w:bodyDiv w:val="1"/>
      <w:marLeft w:val="0"/>
      <w:marRight w:val="0"/>
      <w:marTop w:val="0"/>
      <w:marBottom w:val="0"/>
      <w:divBdr>
        <w:top w:val="none" w:sz="0" w:space="0" w:color="auto"/>
        <w:left w:val="none" w:sz="0" w:space="0" w:color="auto"/>
        <w:bottom w:val="none" w:sz="0" w:space="0" w:color="auto"/>
        <w:right w:val="none" w:sz="0" w:space="0" w:color="auto"/>
      </w:divBdr>
    </w:div>
    <w:div w:id="1704985256">
      <w:bodyDiv w:val="1"/>
      <w:marLeft w:val="0"/>
      <w:marRight w:val="0"/>
      <w:marTop w:val="0"/>
      <w:marBottom w:val="0"/>
      <w:divBdr>
        <w:top w:val="none" w:sz="0" w:space="0" w:color="auto"/>
        <w:left w:val="none" w:sz="0" w:space="0" w:color="auto"/>
        <w:bottom w:val="none" w:sz="0" w:space="0" w:color="auto"/>
        <w:right w:val="none" w:sz="0" w:space="0" w:color="auto"/>
      </w:divBdr>
    </w:div>
    <w:div w:id="1802965587">
      <w:bodyDiv w:val="1"/>
      <w:marLeft w:val="0"/>
      <w:marRight w:val="0"/>
      <w:marTop w:val="0"/>
      <w:marBottom w:val="0"/>
      <w:divBdr>
        <w:top w:val="none" w:sz="0" w:space="0" w:color="auto"/>
        <w:left w:val="none" w:sz="0" w:space="0" w:color="auto"/>
        <w:bottom w:val="none" w:sz="0" w:space="0" w:color="auto"/>
        <w:right w:val="none" w:sz="0" w:space="0" w:color="auto"/>
      </w:divBdr>
    </w:div>
    <w:div w:id="1852447447">
      <w:bodyDiv w:val="1"/>
      <w:marLeft w:val="0"/>
      <w:marRight w:val="0"/>
      <w:marTop w:val="0"/>
      <w:marBottom w:val="0"/>
      <w:divBdr>
        <w:top w:val="none" w:sz="0" w:space="0" w:color="auto"/>
        <w:left w:val="none" w:sz="0" w:space="0" w:color="auto"/>
        <w:bottom w:val="none" w:sz="0" w:space="0" w:color="auto"/>
        <w:right w:val="none" w:sz="0" w:space="0" w:color="auto"/>
      </w:divBdr>
    </w:div>
    <w:div w:id="198222887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14333701">
      <w:bodyDiv w:val="1"/>
      <w:marLeft w:val="0"/>
      <w:marRight w:val="0"/>
      <w:marTop w:val="0"/>
      <w:marBottom w:val="0"/>
      <w:divBdr>
        <w:top w:val="none" w:sz="0" w:space="0" w:color="auto"/>
        <w:left w:val="none" w:sz="0" w:space="0" w:color="auto"/>
        <w:bottom w:val="none" w:sz="0" w:space="0" w:color="auto"/>
        <w:right w:val="none" w:sz="0" w:space="0" w:color="auto"/>
      </w:divBdr>
    </w:div>
    <w:div w:id="21301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673-public"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2024-02-05T04:46:00Z</dcterms:created>
  <dcterms:modified xsi:type="dcterms:W3CDTF">2024-02-07T05:08:00Z</dcterms:modified>
</cp:coreProperties>
</file>