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301DCF" w:rsidP="00743091">
      <w:pPr>
        <w:pStyle w:val="Heading1"/>
      </w:pPr>
      <w:r>
        <w:t>MBS LISTING FOR TRANSCATHETER AORTIC VALVE IMPLANTATION (TAVI)</w:t>
      </w:r>
    </w:p>
    <w:p w:rsidR="006D0E0F" w:rsidRDefault="00B16F94" w:rsidP="00743091">
      <w:pPr>
        <w:pStyle w:val="Footnote"/>
      </w:pPr>
      <w:r w:rsidRPr="00990076">
        <w:t xml:space="preserve">Last updated: </w:t>
      </w:r>
      <w:r w:rsidR="00477D7B">
        <w:t>2</w:t>
      </w:r>
      <w:r w:rsidR="004528CD">
        <w:t>6</w:t>
      </w:r>
      <w:bookmarkStart w:id="0" w:name="_GoBack"/>
      <w:bookmarkEnd w:id="0"/>
      <w:r w:rsidR="00B95F70">
        <w:t>/</w:t>
      </w:r>
      <w:r w:rsidR="00477D7B">
        <w:t>10</w:t>
      </w:r>
      <w:r w:rsidR="00697964">
        <w:t>/2017</w:t>
      </w:r>
    </w:p>
    <w:p w:rsidR="00EC73C4" w:rsidRDefault="00EC73C4" w:rsidP="00EC73C4">
      <w:pPr>
        <w:rPr>
          <w:rStyle w:val="Emphasis"/>
        </w:rPr>
      </w:pPr>
      <w:r>
        <w:rPr>
          <w:rStyle w:val="Emphasis"/>
        </w:rPr>
        <w:t xml:space="preserve">Effective from 1 November 2017 </w:t>
      </w:r>
    </w:p>
    <w:p w:rsidR="001C1CB9" w:rsidRDefault="001C1CB9" w:rsidP="00942D09">
      <w:r>
        <w:t>From 1 November 2017, M</w:t>
      </w:r>
      <w:r w:rsidR="00942D09">
        <w:t>edicare rebates will be available for transcatheter aortic valve implantation (TAVI) and associated services for use in patients who are symptomatic with severe aortic stenosis, and who are deemed to be at high risk for surgical aortic valve replacement or who would otherwise be inoperable.</w:t>
      </w:r>
    </w:p>
    <w:p w:rsidR="001C1CB9" w:rsidRPr="00316747" w:rsidRDefault="00316747" w:rsidP="00942D09">
      <w:pPr>
        <w:rPr>
          <w:rFonts w:eastAsiaTheme="majorEastAsia" w:cs="Arial"/>
          <w:bCs/>
          <w:color w:val="117254"/>
          <w:sz w:val="28"/>
          <w:szCs w:val="28"/>
        </w:rPr>
      </w:pPr>
      <w:r>
        <w:rPr>
          <w:rFonts w:eastAsiaTheme="majorEastAsia" w:cs="Arial"/>
          <w:bCs/>
          <w:color w:val="117254"/>
          <w:sz w:val="28"/>
          <w:szCs w:val="28"/>
        </w:rPr>
        <w:t xml:space="preserve">MBS </w:t>
      </w:r>
      <w:r w:rsidR="001C1CB9" w:rsidRPr="00316747">
        <w:rPr>
          <w:rFonts w:eastAsiaTheme="majorEastAsia" w:cs="Arial"/>
          <w:bCs/>
          <w:color w:val="117254"/>
          <w:sz w:val="28"/>
          <w:szCs w:val="28"/>
        </w:rPr>
        <w:t>Item Descriptors</w:t>
      </w:r>
    </w:p>
    <w:tbl>
      <w:tblPr>
        <w:tblStyle w:val="MBSOnlineTable"/>
        <w:tblW w:w="8798" w:type="dxa"/>
        <w:tblLook w:val="03A0" w:firstRow="1" w:lastRow="0" w:firstColumn="1" w:lastColumn="1" w:noHBand="1" w:noVBand="0"/>
        <w:tblCaption w:val="MBS Items and Item Descriptors "/>
        <w:tblDescription w:val="Lists the new item MBS item numbers for TAVI 6080, 6081, and 34895 and associated schedule fees. "/>
      </w:tblPr>
      <w:tblGrid>
        <w:gridCol w:w="876"/>
        <w:gridCol w:w="7922"/>
      </w:tblGrid>
      <w:tr w:rsidR="0000330C" w:rsidRPr="00EC5546" w:rsidTr="000033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rsidR="0000330C" w:rsidRPr="006F268F" w:rsidRDefault="0000330C" w:rsidP="004406B8">
            <w:pPr>
              <w:pStyle w:val="TblLeft"/>
            </w:pPr>
            <w:r>
              <w:t>MBS Item</w:t>
            </w:r>
          </w:p>
        </w:tc>
        <w:tc>
          <w:tcPr>
            <w:tcW w:w="0" w:type="auto"/>
            <w:vAlign w:val="center"/>
          </w:tcPr>
          <w:p w:rsidR="0000330C" w:rsidRPr="006F268F" w:rsidRDefault="0000330C" w:rsidP="009E6DA2">
            <w:pPr>
              <w:jc w:val="left"/>
              <w:cnfStyle w:val="100000000000" w:firstRow="1" w:lastRow="0" w:firstColumn="0" w:lastColumn="0" w:oddVBand="0" w:evenVBand="0" w:oddHBand="0" w:evenHBand="0" w:firstRowFirstColumn="0" w:firstRowLastColumn="0" w:lastRowFirstColumn="0" w:lastRowLastColumn="0"/>
            </w:pPr>
            <w:r>
              <w:t xml:space="preserve">Item Descriptor </w:t>
            </w:r>
          </w:p>
        </w:tc>
      </w:tr>
      <w:tr w:rsidR="0000330C" w:rsidRPr="00EC5546" w:rsidTr="0000330C">
        <w:tc>
          <w:tcPr>
            <w:cnfStyle w:val="001000000000" w:firstRow="0" w:lastRow="0" w:firstColumn="1" w:lastColumn="0" w:oddVBand="0" w:evenVBand="0" w:oddHBand="0" w:evenHBand="0" w:firstRowFirstColumn="0" w:firstRowLastColumn="0" w:lastRowFirstColumn="0" w:lastRowLastColumn="0"/>
            <w:tcW w:w="0" w:type="auto"/>
            <w:vAlign w:val="center"/>
          </w:tcPr>
          <w:p w:rsidR="0000330C" w:rsidRPr="009E6DA2" w:rsidRDefault="0000330C" w:rsidP="004406B8">
            <w:pPr>
              <w:pStyle w:val="TblLeft"/>
              <w:rPr>
                <w:rFonts w:cs="Arial"/>
                <w:sz w:val="20"/>
                <w:szCs w:val="20"/>
              </w:rPr>
            </w:pPr>
            <w:r w:rsidRPr="009E6DA2">
              <w:rPr>
                <w:rFonts w:cs="Arial"/>
                <w:sz w:val="20"/>
                <w:szCs w:val="20"/>
              </w:rPr>
              <w:t>6080</w:t>
            </w:r>
          </w:p>
        </w:tc>
        <w:tc>
          <w:tcPr>
            <w:tcW w:w="0" w:type="auto"/>
            <w:vAlign w:val="center"/>
          </w:tcPr>
          <w:p w:rsidR="0000330C" w:rsidRPr="009E6DA2" w:rsidRDefault="0000330C" w:rsidP="009E6DA2">
            <w:pPr>
              <w:pStyle w:val="tabletext"/>
              <w:shd w:val="clear" w:color="auto" w:fill="FFFFFF"/>
              <w:spacing w:before="60" w:line="24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E6DA2">
              <w:rPr>
                <w:rFonts w:ascii="Arial" w:hAnsi="Arial" w:cs="Arial"/>
                <w:color w:val="000000"/>
                <w:sz w:val="20"/>
                <w:szCs w:val="20"/>
              </w:rPr>
              <w:t>Coordination of a TAVI Case Conference by a TAVI Practitioner where the TAVI Case Conference has a duration of 10 minutes or more.</w:t>
            </w: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E6DA2">
              <w:rPr>
                <w:rFonts w:cs="Arial"/>
                <w:color w:val="000000"/>
                <w:sz w:val="20"/>
                <w:szCs w:val="20"/>
              </w:rPr>
              <w:t>(Not payable more than once per patient in a five year period.)</w:t>
            </w: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00330C" w:rsidRPr="009E6DA2" w:rsidRDefault="0000330C" w:rsidP="000872A8">
            <w:pPr>
              <w:pStyle w:val="TblLeft"/>
              <w:tabs>
                <w:tab w:val="left" w:pos="1251"/>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8A6577">
              <w:rPr>
                <w:rFonts w:cs="Arial"/>
                <w:b/>
                <w:color w:val="000000"/>
                <w:sz w:val="20"/>
                <w:szCs w:val="20"/>
              </w:rPr>
              <w:t>Fee</w:t>
            </w:r>
            <w:r w:rsidRPr="009E6DA2">
              <w:rPr>
                <w:rFonts w:cs="Arial"/>
                <w:color w:val="000000"/>
                <w:sz w:val="20"/>
                <w:szCs w:val="20"/>
              </w:rPr>
              <w:t>:</w:t>
            </w:r>
            <w:r>
              <w:rPr>
                <w:rFonts w:cs="Arial"/>
                <w:color w:val="000000"/>
                <w:sz w:val="20"/>
                <w:szCs w:val="20"/>
              </w:rPr>
              <w:t xml:space="preserve"> </w:t>
            </w:r>
            <w:r w:rsidRPr="009E6DA2">
              <w:rPr>
                <w:rFonts w:cs="Arial"/>
                <w:color w:val="000000"/>
                <w:sz w:val="20"/>
                <w:szCs w:val="20"/>
              </w:rPr>
              <w:t>$</w:t>
            </w:r>
            <w:r w:rsidRPr="00E5070B">
              <w:rPr>
                <w:iCs/>
                <w:sz w:val="20"/>
                <w:szCs w:val="20"/>
                <w:lang w:eastAsia="en-AU"/>
              </w:rPr>
              <w:t>50.15</w:t>
            </w:r>
            <w:r w:rsidR="000872A8">
              <w:rPr>
                <w:iCs/>
                <w:sz w:val="20"/>
                <w:szCs w:val="20"/>
                <w:lang w:eastAsia="en-AU"/>
              </w:rPr>
              <w:t xml:space="preserve">  </w:t>
            </w:r>
            <w:r w:rsidRPr="008A6577">
              <w:rPr>
                <w:rFonts w:cs="Arial"/>
                <w:b/>
                <w:color w:val="000000"/>
                <w:sz w:val="20"/>
                <w:szCs w:val="20"/>
              </w:rPr>
              <w:t>Benefit</w:t>
            </w:r>
            <w:r w:rsidRPr="008A6577">
              <w:rPr>
                <w:rFonts w:cs="Arial"/>
                <w:color w:val="000000"/>
                <w:sz w:val="20"/>
                <w:szCs w:val="20"/>
              </w:rPr>
              <w:t>: 75% = $37.65    85% = $42.65</w:t>
            </w:r>
          </w:p>
        </w:tc>
      </w:tr>
      <w:tr w:rsidR="0000330C" w:rsidRPr="00EC5546" w:rsidTr="0000330C">
        <w:tc>
          <w:tcPr>
            <w:cnfStyle w:val="001000000000" w:firstRow="0" w:lastRow="0" w:firstColumn="1" w:lastColumn="0" w:oddVBand="0" w:evenVBand="0" w:oddHBand="0" w:evenHBand="0" w:firstRowFirstColumn="0" w:firstRowLastColumn="0" w:lastRowFirstColumn="0" w:lastRowLastColumn="0"/>
            <w:tcW w:w="0" w:type="auto"/>
            <w:vAlign w:val="center"/>
          </w:tcPr>
          <w:p w:rsidR="0000330C" w:rsidRPr="009E6DA2" w:rsidRDefault="0000330C" w:rsidP="004406B8">
            <w:pPr>
              <w:pStyle w:val="TblLeft"/>
              <w:rPr>
                <w:rFonts w:cs="Arial"/>
                <w:sz w:val="20"/>
                <w:szCs w:val="20"/>
              </w:rPr>
            </w:pPr>
            <w:r w:rsidRPr="009E6DA2">
              <w:rPr>
                <w:rFonts w:cs="Arial"/>
                <w:sz w:val="20"/>
                <w:szCs w:val="20"/>
              </w:rPr>
              <w:t>6081</w:t>
            </w:r>
          </w:p>
        </w:tc>
        <w:tc>
          <w:tcPr>
            <w:tcW w:w="0" w:type="auto"/>
            <w:vAlign w:val="center"/>
          </w:tcPr>
          <w:p w:rsidR="0000330C" w:rsidRPr="009E6DA2" w:rsidRDefault="0000330C" w:rsidP="009E6DA2">
            <w:pPr>
              <w:pStyle w:val="tabletext"/>
              <w:shd w:val="clear" w:color="auto" w:fill="FFFFFF"/>
              <w:spacing w:before="60" w:line="24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E6DA2">
              <w:rPr>
                <w:rFonts w:ascii="Arial" w:hAnsi="Arial" w:cs="Arial"/>
                <w:color w:val="000000"/>
                <w:sz w:val="20"/>
                <w:szCs w:val="20"/>
              </w:rPr>
              <w:t>Attendance at a TAVI Case Conference by a specialist or consultant physician who does not also perform the service described in item 6080 for the same case conference where the TAVI Case Conference has a duration of 10 minutes or more.</w:t>
            </w: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E6DA2">
              <w:rPr>
                <w:rFonts w:cs="Arial"/>
                <w:color w:val="000000"/>
                <w:sz w:val="20"/>
                <w:szCs w:val="20"/>
              </w:rPr>
              <w:t>(Not payable more than twice per patient in a five year period.)</w:t>
            </w: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8A6577">
              <w:rPr>
                <w:rFonts w:cs="Arial"/>
                <w:b/>
                <w:color w:val="000000"/>
                <w:sz w:val="20"/>
                <w:szCs w:val="20"/>
              </w:rPr>
              <w:t>Fee</w:t>
            </w:r>
            <w:r w:rsidRPr="009E6DA2">
              <w:rPr>
                <w:rFonts w:cs="Arial"/>
                <w:color w:val="000000"/>
                <w:sz w:val="20"/>
                <w:szCs w:val="20"/>
              </w:rPr>
              <w:t>: $</w:t>
            </w:r>
            <w:r w:rsidRPr="00BA4274">
              <w:rPr>
                <w:iCs/>
                <w:sz w:val="20"/>
                <w:szCs w:val="20"/>
                <w:lang w:eastAsia="en-AU"/>
              </w:rPr>
              <w:t>37.40</w:t>
            </w:r>
            <w:r>
              <w:rPr>
                <w:iCs/>
                <w:sz w:val="20"/>
                <w:szCs w:val="20"/>
                <w:lang w:eastAsia="en-AU"/>
              </w:rPr>
              <w:t xml:space="preserve">  </w:t>
            </w:r>
            <w:r w:rsidRPr="008A6577">
              <w:rPr>
                <w:rFonts w:cs="Arial"/>
                <w:b/>
                <w:color w:val="000000"/>
                <w:sz w:val="20"/>
                <w:szCs w:val="20"/>
              </w:rPr>
              <w:t>Benefit</w:t>
            </w:r>
            <w:r w:rsidRPr="008A6577">
              <w:rPr>
                <w:rFonts w:cs="Arial"/>
                <w:color w:val="000000"/>
                <w:sz w:val="20"/>
                <w:szCs w:val="20"/>
              </w:rPr>
              <w:t>: 75% = $28.05    85% = $31.80</w:t>
            </w:r>
          </w:p>
        </w:tc>
      </w:tr>
      <w:tr w:rsidR="0000330C" w:rsidRPr="00EC5546" w:rsidTr="0000330C">
        <w:tc>
          <w:tcPr>
            <w:cnfStyle w:val="001000000000" w:firstRow="0" w:lastRow="0" w:firstColumn="1" w:lastColumn="0" w:oddVBand="0" w:evenVBand="0" w:oddHBand="0" w:evenHBand="0" w:firstRowFirstColumn="0" w:firstRowLastColumn="0" w:lastRowFirstColumn="0" w:lastRowLastColumn="0"/>
            <w:tcW w:w="0" w:type="auto"/>
            <w:vAlign w:val="center"/>
          </w:tcPr>
          <w:p w:rsidR="0000330C" w:rsidRPr="009E6DA2" w:rsidRDefault="0000330C" w:rsidP="004406B8">
            <w:pPr>
              <w:pStyle w:val="TblLeft"/>
              <w:rPr>
                <w:rFonts w:cs="Arial"/>
                <w:sz w:val="20"/>
                <w:szCs w:val="20"/>
              </w:rPr>
            </w:pPr>
            <w:r w:rsidRPr="009E6DA2">
              <w:rPr>
                <w:rFonts w:cs="Arial"/>
                <w:sz w:val="20"/>
                <w:szCs w:val="20"/>
              </w:rPr>
              <w:t>38495</w:t>
            </w:r>
          </w:p>
        </w:tc>
        <w:tc>
          <w:tcPr>
            <w:tcW w:w="0" w:type="auto"/>
            <w:vAlign w:val="center"/>
          </w:tcPr>
          <w:p w:rsidR="0000330C" w:rsidRPr="009E6DA2" w:rsidRDefault="0000330C" w:rsidP="009E6DA2">
            <w:pPr>
              <w:pStyle w:val="tabletext"/>
              <w:shd w:val="clear" w:color="auto" w:fill="FFFFFF"/>
              <w:spacing w:before="60" w:line="24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E6DA2">
              <w:rPr>
                <w:rFonts w:ascii="Arial" w:hAnsi="Arial" w:cs="Arial"/>
                <w:color w:val="000000"/>
                <w:sz w:val="20"/>
                <w:szCs w:val="20"/>
              </w:rPr>
              <w:t xml:space="preserve">TAVI, </w:t>
            </w:r>
            <w:r w:rsidRPr="009E6DA2">
              <w:rPr>
                <w:rFonts w:ascii="Arial" w:hAnsi="Arial" w:cs="Arial"/>
                <w:bCs/>
                <w:sz w:val="20"/>
                <w:szCs w:val="20"/>
              </w:rPr>
              <w:t>for the treatment of symptomatic severe aortic stenosis,</w:t>
            </w:r>
            <w:r w:rsidRPr="009E6DA2">
              <w:rPr>
                <w:rFonts w:ascii="Arial" w:hAnsi="Arial" w:cs="Arial"/>
                <w:b/>
                <w:bCs/>
                <w:sz w:val="20"/>
                <w:szCs w:val="20"/>
              </w:rPr>
              <w:t xml:space="preserve"> </w:t>
            </w:r>
            <w:r w:rsidRPr="009E6DA2">
              <w:rPr>
                <w:rFonts w:ascii="Arial" w:hAnsi="Arial" w:cs="Arial"/>
                <w:color w:val="000000"/>
                <w:sz w:val="20"/>
                <w:szCs w:val="20"/>
              </w:rPr>
              <w:t>performed via transfemoral delivery, unless transfemoral delivery is contraindicated or not feasible, in a TAVI Hospital on a TAVI Patient by a TAVI Practitioner – includes all intraoperative diagnostic imaging that the TAVI Practitioner performs upon the TAVI Patient.</w:t>
            </w:r>
          </w:p>
          <w:p w:rsidR="000872A8" w:rsidRDefault="000872A8" w:rsidP="000872A8">
            <w:pPr>
              <w:pStyle w:val="tabletext"/>
              <w:shd w:val="clear" w:color="auto" w:fill="FFFFFF"/>
              <w:spacing w:before="60" w:line="24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00330C" w:rsidRPr="009E6DA2" w:rsidRDefault="0000330C" w:rsidP="000872A8">
            <w:pPr>
              <w:pStyle w:val="tabletext"/>
              <w:shd w:val="clear" w:color="auto" w:fill="FFFFFF"/>
              <w:spacing w:before="60" w:line="24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E6DA2">
              <w:rPr>
                <w:rFonts w:ascii="Arial" w:hAnsi="Arial" w:cs="Arial"/>
                <w:color w:val="000000"/>
                <w:sz w:val="20"/>
                <w:szCs w:val="20"/>
              </w:rPr>
              <w:t>(Anaes.) (Assist.)</w:t>
            </w:r>
          </w:p>
          <w:p w:rsidR="0000330C"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E6DA2">
              <w:rPr>
                <w:rFonts w:cs="Arial"/>
                <w:color w:val="000000"/>
                <w:sz w:val="20"/>
                <w:szCs w:val="20"/>
              </w:rPr>
              <w:t>(Not payable more than once per patient in a five year period.)</w:t>
            </w:r>
          </w:p>
          <w:p w:rsidR="0000330C"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00330C" w:rsidRPr="009E6DA2" w:rsidRDefault="0000330C" w:rsidP="009E6DA2">
            <w:pPr>
              <w:pStyle w:val="Tb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8A6577">
              <w:rPr>
                <w:rFonts w:cs="Arial"/>
                <w:b/>
                <w:color w:val="000000"/>
                <w:sz w:val="20"/>
                <w:szCs w:val="20"/>
              </w:rPr>
              <w:t>Fee</w:t>
            </w:r>
            <w:r>
              <w:rPr>
                <w:rFonts w:cs="Arial"/>
                <w:color w:val="000000"/>
                <w:sz w:val="20"/>
                <w:szCs w:val="20"/>
              </w:rPr>
              <w:t>: $</w:t>
            </w:r>
            <w:r w:rsidRPr="00E5070B">
              <w:rPr>
                <w:iCs/>
                <w:sz w:val="20"/>
                <w:szCs w:val="20"/>
                <w:lang w:eastAsia="en-AU"/>
              </w:rPr>
              <w:t>1</w:t>
            </w:r>
            <w:r>
              <w:rPr>
                <w:iCs/>
                <w:sz w:val="20"/>
                <w:szCs w:val="20"/>
                <w:lang w:eastAsia="en-AU"/>
              </w:rPr>
              <w:t>,</w:t>
            </w:r>
            <w:r w:rsidRPr="00E5070B">
              <w:rPr>
                <w:iCs/>
                <w:sz w:val="20"/>
                <w:szCs w:val="20"/>
                <w:lang w:eastAsia="en-AU"/>
              </w:rPr>
              <w:t>432.20</w:t>
            </w:r>
            <w:r>
              <w:rPr>
                <w:iCs/>
                <w:sz w:val="20"/>
                <w:szCs w:val="20"/>
                <w:lang w:eastAsia="en-AU"/>
              </w:rPr>
              <w:t xml:space="preserve">  </w:t>
            </w:r>
            <w:r w:rsidRPr="008A6577">
              <w:rPr>
                <w:rFonts w:cs="Arial"/>
                <w:b/>
                <w:color w:val="000000"/>
                <w:sz w:val="20"/>
                <w:szCs w:val="20"/>
              </w:rPr>
              <w:t>Benefit</w:t>
            </w:r>
            <w:r w:rsidRPr="008A6577">
              <w:rPr>
                <w:rFonts w:cs="Arial"/>
                <w:color w:val="000000"/>
                <w:sz w:val="20"/>
                <w:szCs w:val="20"/>
              </w:rPr>
              <w:t>: 75% = $1</w:t>
            </w:r>
            <w:r>
              <w:rPr>
                <w:rFonts w:cs="Arial"/>
                <w:color w:val="000000"/>
                <w:sz w:val="20"/>
                <w:szCs w:val="20"/>
              </w:rPr>
              <w:t>,</w:t>
            </w:r>
            <w:r w:rsidRPr="008A6577">
              <w:rPr>
                <w:rFonts w:cs="Arial"/>
                <w:color w:val="000000"/>
                <w:sz w:val="20"/>
                <w:szCs w:val="20"/>
              </w:rPr>
              <w:t>074.15    85% = $1</w:t>
            </w:r>
            <w:r>
              <w:rPr>
                <w:rFonts w:cs="Arial"/>
                <w:color w:val="000000"/>
                <w:sz w:val="20"/>
                <w:szCs w:val="20"/>
              </w:rPr>
              <w:t>,</w:t>
            </w:r>
            <w:r w:rsidRPr="008A6577">
              <w:rPr>
                <w:rFonts w:cs="Arial"/>
                <w:color w:val="000000"/>
                <w:sz w:val="20"/>
                <w:szCs w:val="20"/>
              </w:rPr>
              <w:t>350.50</w:t>
            </w:r>
          </w:p>
        </w:tc>
      </w:tr>
    </w:tbl>
    <w:p w:rsidR="00EC73C4" w:rsidRPr="00EC73C4" w:rsidRDefault="00301DCF" w:rsidP="00EC73C4">
      <w:pPr>
        <w:pStyle w:val="Heading3"/>
      </w:pPr>
      <w:r>
        <w:t xml:space="preserve">What does the new procedure involve? </w:t>
      </w:r>
    </w:p>
    <w:p w:rsidR="001C1CB9" w:rsidRDefault="001C1CB9" w:rsidP="001C1CB9">
      <w:r>
        <w:t xml:space="preserve">MBS item 38495 </w:t>
      </w:r>
      <w:r w:rsidR="008B3BE6">
        <w:t>is for</w:t>
      </w:r>
      <w:r>
        <w:t xml:space="preserve"> a TAVI service </w:t>
      </w:r>
      <w:r w:rsidRPr="00C737D2">
        <w:t xml:space="preserve">for the treatment of symptomatic severe aortic stenosis in a suitable patient formally assessed to </w:t>
      </w:r>
      <w:r w:rsidRPr="003C48E9">
        <w:t>have an unacceptably high risk for surgical aortic valve replacement.</w:t>
      </w:r>
      <w:r>
        <w:t xml:space="preserve"> </w:t>
      </w:r>
    </w:p>
    <w:p w:rsidR="001C1CB9" w:rsidRDefault="00306FDA" w:rsidP="001C1CB9">
      <w:pPr>
        <w:rPr>
          <w:bCs/>
          <w:iCs/>
          <w:color w:val="000000"/>
          <w:lang w:eastAsia="en-AU"/>
        </w:rPr>
      </w:pPr>
      <w:r>
        <w:t>In order to attract a Medicare Benefit, t</w:t>
      </w:r>
      <w:r w:rsidR="001C1CB9">
        <w:t>he</w:t>
      </w:r>
      <w:r w:rsidR="0075635F">
        <w:t xml:space="preserve"> patient</w:t>
      </w:r>
      <w:r>
        <w:t>’s</w:t>
      </w:r>
      <w:r w:rsidR="0075635F">
        <w:t xml:space="preserve"> eligibility for the TAVI</w:t>
      </w:r>
      <w:r w:rsidR="001C1CB9">
        <w:t xml:space="preserve"> service is to be </w:t>
      </w:r>
      <w:r w:rsidR="001C1CB9" w:rsidRPr="00A935D9">
        <w:t xml:space="preserve">approved through a </w:t>
      </w:r>
      <w:r w:rsidR="001C1CB9">
        <w:t>TAVI Case C</w:t>
      </w:r>
      <w:r w:rsidR="001C1CB9" w:rsidRPr="00A935D9">
        <w:t>onference</w:t>
      </w:r>
      <w:r w:rsidR="001C1CB9">
        <w:t xml:space="preserve">, </w:t>
      </w:r>
      <w:r w:rsidR="000872A8">
        <w:t xml:space="preserve">and </w:t>
      </w:r>
      <w:r>
        <w:t xml:space="preserve">the service has to be </w:t>
      </w:r>
      <w:r w:rsidR="001C1CB9" w:rsidRPr="00A935D9">
        <w:t>performed by an interventional cardiologist or a cardiothoracic surgeon</w:t>
      </w:r>
      <w:r w:rsidR="001C1CB9">
        <w:t xml:space="preserve"> who has been accredited by the Cardiac Ac</w:t>
      </w:r>
      <w:r w:rsidR="006B666F">
        <w:t>creditation Services Limited</w:t>
      </w:r>
      <w:r w:rsidR="00477D7B">
        <w:t xml:space="preserve"> and </w:t>
      </w:r>
      <w:r w:rsidR="001C1CB9">
        <w:t xml:space="preserve">performed at a hospital that is considered clinically </w:t>
      </w:r>
      <w:r w:rsidR="000872A8">
        <w:rPr>
          <w:bCs/>
          <w:iCs/>
          <w:color w:val="000000"/>
          <w:lang w:eastAsia="en-AU"/>
        </w:rPr>
        <w:t>accepted as being suitable</w:t>
      </w:r>
      <w:r w:rsidR="00477D7B">
        <w:rPr>
          <w:bCs/>
          <w:iCs/>
          <w:color w:val="000000"/>
          <w:lang w:eastAsia="en-AU"/>
        </w:rPr>
        <w:t>.</w:t>
      </w:r>
    </w:p>
    <w:p w:rsidR="00EC73C4" w:rsidRPr="00EC73C4" w:rsidRDefault="00301DCF" w:rsidP="00EC73C4">
      <w:pPr>
        <w:pStyle w:val="Heading3"/>
      </w:pPr>
      <w:r>
        <w:lastRenderedPageBreak/>
        <w:t>What are the patient eligibility requirements?</w:t>
      </w:r>
    </w:p>
    <w:p w:rsidR="002F151E" w:rsidRPr="00EC73C4" w:rsidRDefault="002F151E" w:rsidP="002F151E">
      <w:r>
        <w:t xml:space="preserve">Only patients who have been formally assessed as having an unacceptably high risk for surgical aortic valve replacement will be eligible for TAVI. Practitioners are required to assess the patient suitability through a TAVI-specific case conference.  </w:t>
      </w:r>
    </w:p>
    <w:p w:rsidR="008B3BE6" w:rsidRDefault="008B3BE6" w:rsidP="00301DCF">
      <w:r>
        <w:t>Patients who have been assessed as suitable for surgical aortic valve replacement</w:t>
      </w:r>
      <w:r w:rsidR="002F151E">
        <w:t xml:space="preserve"> will not be eligible for TAVI</w:t>
      </w:r>
      <w:r>
        <w:t xml:space="preserve">. </w:t>
      </w:r>
    </w:p>
    <w:p w:rsidR="002F151E" w:rsidRDefault="002F151E" w:rsidP="002F151E">
      <w:pPr>
        <w:pStyle w:val="Heading3"/>
      </w:pPr>
      <w:r>
        <w:t xml:space="preserve">What </w:t>
      </w:r>
      <w:r w:rsidR="00010D6D">
        <w:t>is a</w:t>
      </w:r>
      <w:r>
        <w:t xml:space="preserve"> TAVI Case Conference?  </w:t>
      </w:r>
    </w:p>
    <w:p w:rsidR="00316747" w:rsidRDefault="00010D6D" w:rsidP="00010D6D">
      <w:r>
        <w:t xml:space="preserve">A TAVI Case Conference is a process undertaken by a number of medical practitioners to assess and make recommendations regarding a patient’s suitability to receive </w:t>
      </w:r>
      <w:r w:rsidR="00316747">
        <w:t xml:space="preserve">TAVI.  </w:t>
      </w:r>
    </w:p>
    <w:p w:rsidR="00010D6D" w:rsidRDefault="00316747" w:rsidP="00010D6D">
      <w:r>
        <w:t>The TAVI Case Conference is to include an assessment of:</w:t>
      </w:r>
    </w:p>
    <w:p w:rsidR="00316747" w:rsidRDefault="00316747" w:rsidP="00316747">
      <w:pPr>
        <w:pStyle w:val="ListParagraph"/>
        <w:numPr>
          <w:ilvl w:val="0"/>
          <w:numId w:val="32"/>
        </w:numPr>
        <w:spacing w:before="0" w:after="0"/>
        <w:ind w:left="851" w:hanging="284"/>
        <w:contextualSpacing w:val="0"/>
      </w:pPr>
      <w:r w:rsidRPr="00BE2B4C">
        <w:t>the patient’s risk and technical suitability for a surgical aortic valve replacement; and</w:t>
      </w:r>
    </w:p>
    <w:p w:rsidR="00316747" w:rsidRPr="00316747" w:rsidRDefault="00316747" w:rsidP="00316747">
      <w:pPr>
        <w:pStyle w:val="ListParagraph"/>
        <w:numPr>
          <w:ilvl w:val="0"/>
          <w:numId w:val="32"/>
        </w:numPr>
        <w:spacing w:before="0" w:after="0"/>
        <w:ind w:left="851" w:hanging="284"/>
        <w:contextualSpacing w:val="0"/>
      </w:pPr>
      <w:r w:rsidRPr="00316747">
        <w:t xml:space="preserve">the patient’s cognitive function and frailty. </w:t>
      </w:r>
    </w:p>
    <w:p w:rsidR="00010D6D" w:rsidRDefault="00010D6D" w:rsidP="00010D6D">
      <w:r>
        <w:t>A TAVI Case Conf</w:t>
      </w:r>
      <w:r w:rsidR="006B666F">
        <w:t>erence must comprise a team of three</w:t>
      </w:r>
      <w:r>
        <w:t xml:space="preserve"> or more participants including:</w:t>
      </w:r>
    </w:p>
    <w:p w:rsidR="00010D6D" w:rsidRDefault="00010D6D" w:rsidP="00316747">
      <w:pPr>
        <w:pStyle w:val="ListParagraph"/>
        <w:numPr>
          <w:ilvl w:val="0"/>
          <w:numId w:val="32"/>
        </w:numPr>
        <w:spacing w:before="0" w:after="0"/>
        <w:ind w:left="851" w:hanging="284"/>
        <w:contextualSpacing w:val="0"/>
      </w:pPr>
      <w:r>
        <w:t xml:space="preserve">one cardiothoracic surgeon; </w:t>
      </w:r>
    </w:p>
    <w:p w:rsidR="00010D6D" w:rsidRDefault="00010D6D" w:rsidP="00316747">
      <w:pPr>
        <w:pStyle w:val="ListParagraph"/>
        <w:numPr>
          <w:ilvl w:val="0"/>
          <w:numId w:val="32"/>
        </w:numPr>
        <w:spacing w:before="0" w:after="0"/>
        <w:ind w:left="851" w:hanging="284"/>
        <w:contextualSpacing w:val="0"/>
      </w:pPr>
      <w:r>
        <w:t xml:space="preserve">one interventional cardiologist; and </w:t>
      </w:r>
    </w:p>
    <w:p w:rsidR="00010D6D" w:rsidRDefault="00010D6D" w:rsidP="00316747">
      <w:pPr>
        <w:pStyle w:val="ListParagraph"/>
        <w:numPr>
          <w:ilvl w:val="0"/>
          <w:numId w:val="32"/>
        </w:numPr>
        <w:spacing w:before="0" w:after="0"/>
        <w:ind w:left="851" w:hanging="284"/>
        <w:contextualSpacing w:val="0"/>
      </w:pPr>
      <w:r>
        <w:t xml:space="preserve">one specialist or consultant physician who does not perform the TAVI procedure for the patient being assessed. </w:t>
      </w:r>
    </w:p>
    <w:p w:rsidR="00010D6D" w:rsidRDefault="00010D6D" w:rsidP="00010D6D">
      <w:r>
        <w:t xml:space="preserve">Either the cardiothoracic surgeon, or the interventional cardiologist must also be </w:t>
      </w:r>
      <w:r w:rsidR="00E15E10">
        <w:t xml:space="preserve">an accredited </w:t>
      </w:r>
      <w:r>
        <w:t xml:space="preserve">TAVI Practitioner. </w:t>
      </w:r>
    </w:p>
    <w:p w:rsidR="00010D6D" w:rsidRDefault="00010D6D" w:rsidP="00010D6D">
      <w:r>
        <w:t xml:space="preserve">More than </w:t>
      </w:r>
      <w:r w:rsidR="006B666F">
        <w:t>three</w:t>
      </w:r>
      <w:r>
        <w:t xml:space="preserve"> participants can be involved in a</w:t>
      </w:r>
      <w:r w:rsidR="00316747">
        <w:t xml:space="preserve"> TAVI Case Conference.  The composition of a TAVI Case Conference beyond the above minimum requirements is a matter for the coordinating practitioner based on the individual circumstances of the patient.  However, </w:t>
      </w:r>
      <w:r>
        <w:t xml:space="preserve">the patient </w:t>
      </w:r>
      <w:r w:rsidR="00316747">
        <w:t>is only eligible to</w:t>
      </w:r>
      <w:r w:rsidR="006B666F">
        <w:t xml:space="preserve"> receive a Medicare rebate for one </w:t>
      </w:r>
      <w:r w:rsidR="003A44C5">
        <w:t>c</w:t>
      </w:r>
      <w:r w:rsidR="006B666F">
        <w:t>oordinating participant, and two</w:t>
      </w:r>
      <w:r>
        <w:t xml:space="preserve"> attending participants. </w:t>
      </w:r>
    </w:p>
    <w:p w:rsidR="00010D6D" w:rsidRDefault="00010D6D" w:rsidP="00010D6D">
      <w:r>
        <w:t xml:space="preserve">Medicare rebates will only be payable for one TAVI Case Conference, per patient, in a five year period. </w:t>
      </w:r>
    </w:p>
    <w:p w:rsidR="003A44C5" w:rsidRDefault="003A44C5" w:rsidP="00010D6D">
      <w:r>
        <w:t>While a TAVI Case Conference must occur to assess a patient’s suitability, it is not mandatory for a patient to be billed this service in order for a benefit to be paid under the TAVI procedure item 38495.</w:t>
      </w:r>
    </w:p>
    <w:p w:rsidR="002F151E" w:rsidRDefault="00010D6D" w:rsidP="00301DCF">
      <w:pPr>
        <w:rPr>
          <w:rFonts w:eastAsiaTheme="majorEastAsia" w:cs="Arial"/>
          <w:bCs/>
          <w:color w:val="117254"/>
          <w:sz w:val="28"/>
          <w:szCs w:val="28"/>
        </w:rPr>
      </w:pPr>
      <w:r w:rsidRPr="00010D6D">
        <w:rPr>
          <w:rFonts w:eastAsiaTheme="majorEastAsia" w:cs="Arial"/>
          <w:bCs/>
          <w:color w:val="117254"/>
          <w:sz w:val="28"/>
          <w:szCs w:val="28"/>
        </w:rPr>
        <w:t>What items can be billed for the TAVI Case Conference?</w:t>
      </w:r>
    </w:p>
    <w:p w:rsidR="00316747" w:rsidRDefault="00316747" w:rsidP="00316747">
      <w:pPr>
        <w:ind w:right="-483"/>
      </w:pPr>
      <w:r w:rsidRPr="009D5DDE">
        <w:rPr>
          <w:u w:val="single"/>
        </w:rPr>
        <w:t>Item 6080</w:t>
      </w:r>
      <w:r>
        <w:t xml:space="preserve"> provides for the </w:t>
      </w:r>
      <w:r w:rsidRPr="0000330C">
        <w:rPr>
          <w:b/>
        </w:rPr>
        <w:t>coordination</w:t>
      </w:r>
      <w:r>
        <w:t xml:space="preserve"> o</w:t>
      </w:r>
      <w:r w:rsidR="009D5DDE">
        <w:t xml:space="preserve">f the TAVI Case Conference </w:t>
      </w:r>
      <w:r>
        <w:t xml:space="preserve">and is only payable once per patient in a five year period. </w:t>
      </w:r>
    </w:p>
    <w:p w:rsidR="00316747" w:rsidRDefault="00316747" w:rsidP="00316747">
      <w:pPr>
        <w:ind w:right="-483"/>
      </w:pPr>
      <w:r>
        <w:t xml:space="preserve">The </w:t>
      </w:r>
      <w:r w:rsidR="009D5DDE">
        <w:t xml:space="preserve">TAVI Coordinator </w:t>
      </w:r>
      <w:r>
        <w:t>is responsible for:</w:t>
      </w:r>
    </w:p>
    <w:p w:rsidR="009D5DDE" w:rsidRDefault="009D5DDE" w:rsidP="009D5DDE">
      <w:pPr>
        <w:pStyle w:val="ListParagraph"/>
        <w:numPr>
          <w:ilvl w:val="0"/>
          <w:numId w:val="32"/>
        </w:numPr>
        <w:spacing w:before="0" w:after="0"/>
        <w:ind w:left="851" w:hanging="284"/>
        <w:contextualSpacing w:val="0"/>
      </w:pPr>
      <w:r w:rsidRPr="009D5DDE">
        <w:t>ensuring that the patient is aware of the purpose and nature of the patient’s TAVI Case Conference and has consented to their TAVI Case Conference;</w:t>
      </w:r>
    </w:p>
    <w:p w:rsidR="009D5DDE" w:rsidRDefault="009D5DDE" w:rsidP="009D5DDE">
      <w:pPr>
        <w:pStyle w:val="ListParagraph"/>
        <w:numPr>
          <w:ilvl w:val="0"/>
          <w:numId w:val="32"/>
        </w:numPr>
        <w:spacing w:before="0" w:after="0"/>
        <w:ind w:left="851" w:hanging="284"/>
        <w:contextualSpacing w:val="0"/>
      </w:pPr>
      <w:r w:rsidRPr="00AC48FE">
        <w:t>recording the day the conference was held</w:t>
      </w:r>
      <w:r>
        <w:t>,</w:t>
      </w:r>
      <w:r w:rsidRPr="00AC48FE">
        <w:t xml:space="preserve"> and the times the conference started and ended</w:t>
      </w:r>
      <w:r>
        <w:t>;</w:t>
      </w:r>
    </w:p>
    <w:p w:rsidR="009D5DDE" w:rsidRPr="002F0473" w:rsidRDefault="009D5DDE" w:rsidP="009D5DDE">
      <w:pPr>
        <w:pStyle w:val="ListParagraph"/>
        <w:numPr>
          <w:ilvl w:val="0"/>
          <w:numId w:val="32"/>
        </w:numPr>
        <w:spacing w:before="0" w:after="0"/>
        <w:ind w:left="851" w:hanging="284"/>
        <w:contextualSpacing w:val="0"/>
      </w:pPr>
      <w:r w:rsidRPr="009D5DDE">
        <w:t>recording the names of the participants of the conference;</w:t>
      </w:r>
    </w:p>
    <w:p w:rsidR="009D5DDE" w:rsidRDefault="009D5DDE" w:rsidP="009D5DDE">
      <w:pPr>
        <w:pStyle w:val="ListParagraph"/>
        <w:numPr>
          <w:ilvl w:val="0"/>
          <w:numId w:val="32"/>
        </w:numPr>
        <w:spacing w:before="0" w:after="0"/>
        <w:ind w:left="851" w:hanging="284"/>
        <w:contextualSpacing w:val="0"/>
      </w:pPr>
      <w:r w:rsidRPr="009D5DDE">
        <w:t>provision of expertise to inform the recommendation resulting from the case conference;</w:t>
      </w:r>
    </w:p>
    <w:p w:rsidR="009D5DDE" w:rsidRPr="002F0473" w:rsidRDefault="009D5DDE" w:rsidP="009D5DDE">
      <w:pPr>
        <w:pStyle w:val="ListParagraph"/>
        <w:numPr>
          <w:ilvl w:val="0"/>
          <w:numId w:val="32"/>
        </w:numPr>
        <w:spacing w:before="0" w:after="0"/>
        <w:ind w:left="851" w:hanging="284"/>
        <w:contextualSpacing w:val="0"/>
      </w:pPr>
      <w:r w:rsidRPr="009D5DDE">
        <w:t>recording minutes of the TAVI Case Conference including the recommendation resulting from the conference;</w:t>
      </w:r>
    </w:p>
    <w:p w:rsidR="009D5DDE" w:rsidRDefault="009D5DDE" w:rsidP="009D5DDE">
      <w:pPr>
        <w:pStyle w:val="ListParagraph"/>
        <w:numPr>
          <w:ilvl w:val="0"/>
          <w:numId w:val="32"/>
        </w:numPr>
        <w:spacing w:before="0" w:after="0"/>
        <w:ind w:left="851" w:hanging="284"/>
        <w:contextualSpacing w:val="0"/>
      </w:pPr>
      <w:r w:rsidRPr="009D5DDE">
        <w:t>ensuring that the patient is aware of the recommendation.</w:t>
      </w:r>
    </w:p>
    <w:p w:rsidR="00316747" w:rsidRDefault="00DB7A98" w:rsidP="00316747">
      <w:pPr>
        <w:ind w:right="-483"/>
      </w:pPr>
      <w:r>
        <w:lastRenderedPageBreak/>
        <w:t xml:space="preserve">Where the TAVI Coordinator is not the patients treating practitioner, they should liaise with the treating practitioner to ensure the patient has been properly informed. </w:t>
      </w:r>
    </w:p>
    <w:p w:rsidR="009D5DDE" w:rsidRDefault="00316747" w:rsidP="00316747">
      <w:r w:rsidRPr="009D5DDE">
        <w:rPr>
          <w:u w:val="single"/>
        </w:rPr>
        <w:t>Item 6081</w:t>
      </w:r>
      <w:r>
        <w:t xml:space="preserve"> provides for </w:t>
      </w:r>
      <w:r w:rsidRPr="0000330C">
        <w:rPr>
          <w:b/>
        </w:rPr>
        <w:t>attendance</w:t>
      </w:r>
      <w:r>
        <w:t xml:space="preserve"> at a TAVI case conference by a specialist or consultant physician who attended but did not coordinate the conference.  This item is only payable twice per patient in a five year period.</w:t>
      </w:r>
    </w:p>
    <w:p w:rsidR="009D5DDE" w:rsidRDefault="009D5DDE" w:rsidP="00316747">
      <w:r>
        <w:t>An attending participant is responsible for:</w:t>
      </w:r>
    </w:p>
    <w:p w:rsidR="009D5DDE" w:rsidRDefault="009D5DDE" w:rsidP="009D5DDE">
      <w:pPr>
        <w:pStyle w:val="ListParagraph"/>
        <w:numPr>
          <w:ilvl w:val="0"/>
          <w:numId w:val="32"/>
        </w:numPr>
        <w:spacing w:before="0" w:after="0"/>
        <w:ind w:left="851" w:hanging="284"/>
        <w:contextualSpacing w:val="0"/>
      </w:pPr>
      <w:r w:rsidRPr="00AC48FE">
        <w:t>r</w:t>
      </w:r>
      <w:r>
        <w:t>etaining a record of</w:t>
      </w:r>
      <w:r w:rsidRPr="00AC48FE">
        <w:t xml:space="preserve"> the day the conference was held</w:t>
      </w:r>
      <w:r>
        <w:t>,</w:t>
      </w:r>
      <w:r w:rsidRPr="00AC48FE">
        <w:t xml:space="preserve"> and the times the conference started and ended</w:t>
      </w:r>
      <w:r>
        <w:t>;</w:t>
      </w:r>
    </w:p>
    <w:p w:rsidR="009D5DDE" w:rsidRPr="00AC48FE" w:rsidRDefault="009D5DDE" w:rsidP="009D5DDE">
      <w:pPr>
        <w:pStyle w:val="ListParagraph"/>
        <w:numPr>
          <w:ilvl w:val="0"/>
          <w:numId w:val="32"/>
        </w:numPr>
        <w:spacing w:before="0" w:after="0"/>
        <w:ind w:left="851" w:hanging="284"/>
        <w:contextualSpacing w:val="0"/>
      </w:pPr>
      <w:r w:rsidRPr="009D5DDE">
        <w:t>retaining a record of the names of the participants;</w:t>
      </w:r>
    </w:p>
    <w:p w:rsidR="009D5DDE" w:rsidRDefault="009D5DDE" w:rsidP="009D5DDE">
      <w:pPr>
        <w:pStyle w:val="ListParagraph"/>
        <w:numPr>
          <w:ilvl w:val="0"/>
          <w:numId w:val="32"/>
        </w:numPr>
        <w:spacing w:before="0" w:after="0"/>
        <w:ind w:left="851" w:hanging="284"/>
        <w:contextualSpacing w:val="0"/>
      </w:pPr>
      <w:r w:rsidRPr="009D5DDE">
        <w:t>provision of expertise to inform the recommendation resulting from the case conference;</w:t>
      </w:r>
    </w:p>
    <w:p w:rsidR="00010D6D" w:rsidRPr="009D5DDE" w:rsidRDefault="009D5DDE" w:rsidP="00301DCF">
      <w:pPr>
        <w:pStyle w:val="ListParagraph"/>
        <w:numPr>
          <w:ilvl w:val="0"/>
          <w:numId w:val="32"/>
        </w:numPr>
        <w:spacing w:before="0" w:after="0"/>
        <w:ind w:left="851" w:hanging="284"/>
        <w:contextualSpacing w:val="0"/>
      </w:pPr>
      <w:r w:rsidRPr="009D5DDE">
        <w:t>retaining a record of the recommendation resulting from  the conference.</w:t>
      </w:r>
    </w:p>
    <w:p w:rsidR="00301DCF" w:rsidRDefault="00301DCF" w:rsidP="00EC73C4">
      <w:pPr>
        <w:pStyle w:val="Heading3"/>
      </w:pPr>
      <w:r>
        <w:t xml:space="preserve">Who can perform a TAVI procedure?  </w:t>
      </w:r>
    </w:p>
    <w:p w:rsidR="00306FDA" w:rsidRPr="00942D09" w:rsidRDefault="001C1CB9" w:rsidP="00942D09">
      <w:r>
        <w:t>A TAVI Practitioner can be</w:t>
      </w:r>
      <w:r w:rsidR="00942D09">
        <w:t xml:space="preserve"> either a cardiothoracic surgeon or interventional cardiologist who is accredited by Cardiac </w:t>
      </w:r>
      <w:r>
        <w:t xml:space="preserve">Accreditation </w:t>
      </w:r>
      <w:r w:rsidR="003C48E9">
        <w:t xml:space="preserve">Services Limited. </w:t>
      </w:r>
    </w:p>
    <w:p w:rsidR="00301DCF" w:rsidRDefault="00301DCF" w:rsidP="00301DCF">
      <w:pPr>
        <w:pStyle w:val="Heading3"/>
      </w:pPr>
      <w:r>
        <w:t xml:space="preserve">What is the role and function of </w:t>
      </w:r>
      <w:r w:rsidR="004047D0">
        <w:t xml:space="preserve">the </w:t>
      </w:r>
      <w:r>
        <w:t xml:space="preserve">Cardiac Accreditation Services Limited? </w:t>
      </w:r>
    </w:p>
    <w:p w:rsidR="003C48E9" w:rsidRDefault="001C1CB9" w:rsidP="003C48E9">
      <w:r>
        <w:t>Cardiac Accr</w:t>
      </w:r>
      <w:r w:rsidR="003C48E9">
        <w:t>editation Services Limited,</w:t>
      </w:r>
      <w:r w:rsidR="003A44C5">
        <w:t xml:space="preserve"> </w:t>
      </w:r>
      <w:r w:rsidR="003C48E9">
        <w:t>is responsible for developing the processes and criteria for the accr</w:t>
      </w:r>
      <w:r w:rsidR="00B16C6E">
        <w:t xml:space="preserve">editation of TAVI Practitioners; </w:t>
      </w:r>
      <w:r w:rsidR="003C48E9">
        <w:t>the setting of minimum standards for TAVI Hospitals</w:t>
      </w:r>
      <w:r w:rsidR="00B16C6E">
        <w:t xml:space="preserve">; </w:t>
      </w:r>
      <w:r w:rsidR="003C48E9">
        <w:t xml:space="preserve">and accrediting TAVI Practitioners. </w:t>
      </w:r>
    </w:p>
    <w:p w:rsidR="003C48E9" w:rsidRDefault="003C48E9" w:rsidP="001C1CB9">
      <w:r>
        <w:t xml:space="preserve">Cardiac Accreditation Services Limited is </w:t>
      </w:r>
      <w:r w:rsidR="001C1CB9">
        <w:t xml:space="preserve">comprised of </w:t>
      </w:r>
      <w:r>
        <w:t>representatives from t</w:t>
      </w:r>
      <w:r w:rsidR="001C1CB9" w:rsidRPr="001C1CB9">
        <w:t>he Australian &amp; New Zealand Society of Cardiac &amp; Thoracic Surgeons (ANZSCTS) and the</w:t>
      </w:r>
      <w:r>
        <w:t xml:space="preserve"> </w:t>
      </w:r>
      <w:r w:rsidR="001C1CB9" w:rsidRPr="001C1CB9">
        <w:t>Cardiac Society of Australia and New Zealand (CSANZ)</w:t>
      </w:r>
      <w:r>
        <w:t>.</w:t>
      </w:r>
    </w:p>
    <w:p w:rsidR="00301DCF" w:rsidRDefault="00301DCF" w:rsidP="00EC73C4">
      <w:pPr>
        <w:pStyle w:val="Heading3"/>
      </w:pPr>
      <w:r>
        <w:t>What are the accre</w:t>
      </w:r>
      <w:r w:rsidR="00803292">
        <w:t>ditation requirements for TAVI P</w:t>
      </w:r>
      <w:r>
        <w:t xml:space="preserve">ractitioners? </w:t>
      </w:r>
    </w:p>
    <w:p w:rsidR="00451C19" w:rsidRDefault="00437E27" w:rsidP="00301DCF">
      <w:r>
        <w:t xml:space="preserve">Cardiac </w:t>
      </w:r>
      <w:r w:rsidR="00451C19">
        <w:t xml:space="preserve">Accreditation Services Limited set the minimum standards and volume requirements </w:t>
      </w:r>
      <w:r w:rsidR="006B666F">
        <w:t>that need to be met</w:t>
      </w:r>
      <w:r w:rsidR="00451C19">
        <w:t xml:space="preserve"> for accreditation as a TAVI Practitioner.  </w:t>
      </w:r>
    </w:p>
    <w:p w:rsidR="00B16C6E" w:rsidRDefault="00B16C6E" w:rsidP="00301DCF">
      <w:r>
        <w:t xml:space="preserve">Cardiac Accreditation Services Limited </w:t>
      </w:r>
      <w:r w:rsidR="003A44C5">
        <w:t xml:space="preserve">notifies the Department of Human Services (DHS) </w:t>
      </w:r>
      <w:r w:rsidR="00F718A0">
        <w:t>of accredited</w:t>
      </w:r>
      <w:r w:rsidR="003A44C5">
        <w:t xml:space="preserve"> </w:t>
      </w:r>
      <w:r w:rsidR="00451C19">
        <w:t xml:space="preserve">TAVI Practitioners and </w:t>
      </w:r>
      <w:r w:rsidR="00E15E10">
        <w:t xml:space="preserve">the </w:t>
      </w:r>
      <w:r>
        <w:t xml:space="preserve">facilities in which </w:t>
      </w:r>
      <w:r w:rsidR="00E15E10">
        <w:t xml:space="preserve">they operate </w:t>
      </w:r>
      <w:r w:rsidR="00F718A0">
        <w:t>from. It</w:t>
      </w:r>
      <w:r w:rsidR="00E15E10">
        <w:t xml:space="preserve"> is important to note that it is a TAVI Practitioner’s responsibility to notify Cardiac Accreditation Services of every TAVI Hospital they are operating in, over the life of their accreditation.</w:t>
      </w:r>
    </w:p>
    <w:p w:rsidR="003C48E9" w:rsidRDefault="003C48E9" w:rsidP="00301DCF">
      <w:r>
        <w:t xml:space="preserve">Detailed accreditation requirements are set out in the </w:t>
      </w:r>
      <w:r w:rsidRPr="003C48E9">
        <w:rPr>
          <w:i/>
        </w:rPr>
        <w:t>Transcatheter Aortic Valve Implantation – Rules for the Accreditation of TAVI Practitioners</w:t>
      </w:r>
      <w:r w:rsidRPr="00437E27">
        <w:t>,</w:t>
      </w:r>
      <w:r w:rsidRPr="003C48E9">
        <w:rPr>
          <w:i/>
        </w:rPr>
        <w:t xml:space="preserve"> </w:t>
      </w:r>
      <w:r>
        <w:t xml:space="preserve">issued by Cardiac Services Accreditation Limited.  </w:t>
      </w:r>
    </w:p>
    <w:p w:rsidR="00301DCF" w:rsidRPr="00301DCF" w:rsidRDefault="003C48E9" w:rsidP="00301DCF">
      <w:r>
        <w:t xml:space="preserve">This document, and further information on TAVI accreditation and </w:t>
      </w:r>
      <w:r w:rsidR="00451C19">
        <w:t>appeals processes</w:t>
      </w:r>
      <w:r>
        <w:t xml:space="preserve"> are available on the </w:t>
      </w:r>
      <w:hyperlink r:id="rId9" w:history="1">
        <w:r w:rsidR="00B16C6E">
          <w:rPr>
            <w:rStyle w:val="Hyperlink"/>
          </w:rPr>
          <w:t>TAVI accreditation</w:t>
        </w:r>
      </w:hyperlink>
      <w:r>
        <w:t xml:space="preserve"> website</w:t>
      </w:r>
      <w:r w:rsidR="00B16C6E">
        <w:t>, or by directly contacting Cardiac Accreditation Services Limited</w:t>
      </w:r>
      <w:r w:rsidR="003A44C5">
        <w:t xml:space="preserve"> through its </w:t>
      </w:r>
      <w:hyperlink r:id="rId10" w:history="1">
        <w:r w:rsidR="003A44C5" w:rsidRPr="003A44C5">
          <w:rPr>
            <w:rStyle w:val="Hyperlink"/>
          </w:rPr>
          <w:t>website</w:t>
        </w:r>
      </w:hyperlink>
      <w:r>
        <w:t xml:space="preserve">. </w:t>
      </w:r>
    </w:p>
    <w:p w:rsidR="00301DCF" w:rsidRDefault="00301DCF" w:rsidP="00301DCF">
      <w:pPr>
        <w:pStyle w:val="Heading3"/>
      </w:pPr>
      <w:r>
        <w:t xml:space="preserve">Where can a TAVI procedure take place? </w:t>
      </w:r>
    </w:p>
    <w:p w:rsidR="00FA43E8" w:rsidRDefault="00FA43E8" w:rsidP="00301DCF">
      <w:r>
        <w:t xml:space="preserve">A TAVI Hospital is a hospital, as defined by subsection 121-5(5) of the </w:t>
      </w:r>
      <w:r w:rsidRPr="00AA0F9E">
        <w:rPr>
          <w:i/>
        </w:rPr>
        <w:t>Private Health Insurance Act 2007,</w:t>
      </w:r>
      <w:r>
        <w:t xml:space="preserve"> that is clinically accepted as being a suitable hospital at which TAVI procedures may be performed.  </w:t>
      </w:r>
    </w:p>
    <w:p w:rsidR="00301DCF" w:rsidRDefault="00FA43E8" w:rsidP="00301DCF">
      <w:r>
        <w:lastRenderedPageBreak/>
        <w:t xml:space="preserve">The </w:t>
      </w:r>
      <w:r w:rsidRPr="00C158B5">
        <w:rPr>
          <w:i/>
        </w:rPr>
        <w:t xml:space="preserve">Transcatheter </w:t>
      </w:r>
      <w:r>
        <w:rPr>
          <w:i/>
        </w:rPr>
        <w:t>A</w:t>
      </w:r>
      <w:r w:rsidRPr="00C158B5">
        <w:rPr>
          <w:i/>
        </w:rPr>
        <w:t xml:space="preserve">ortic </w:t>
      </w:r>
      <w:r>
        <w:rPr>
          <w:i/>
        </w:rPr>
        <w:t>V</w:t>
      </w:r>
      <w:r w:rsidRPr="00C158B5">
        <w:rPr>
          <w:i/>
        </w:rPr>
        <w:t xml:space="preserve">alve </w:t>
      </w:r>
      <w:r>
        <w:rPr>
          <w:i/>
        </w:rPr>
        <w:t>I</w:t>
      </w:r>
      <w:r w:rsidRPr="00C158B5">
        <w:rPr>
          <w:i/>
        </w:rPr>
        <w:t xml:space="preserve">mplantation - Rules for the </w:t>
      </w:r>
      <w:r>
        <w:rPr>
          <w:i/>
        </w:rPr>
        <w:t>A</w:t>
      </w:r>
      <w:r w:rsidRPr="00C158B5">
        <w:rPr>
          <w:i/>
        </w:rPr>
        <w:t xml:space="preserve">ccreditation of TAVI </w:t>
      </w:r>
      <w:r>
        <w:rPr>
          <w:i/>
        </w:rPr>
        <w:t>P</w:t>
      </w:r>
      <w:r w:rsidRPr="00C158B5">
        <w:rPr>
          <w:i/>
        </w:rPr>
        <w:t>ractitioners</w:t>
      </w:r>
      <w:r>
        <w:t>,</w:t>
      </w:r>
      <w:r w:rsidR="00C625AF">
        <w:t xml:space="preserve"> </w:t>
      </w:r>
      <w:r>
        <w:t>issued by Cardiac Accreditation Services L</w:t>
      </w:r>
      <w:r w:rsidRPr="007D5E5B">
        <w:t>imited</w:t>
      </w:r>
      <w:r>
        <w:t>, provides guidance regarding clinically acceptable TAVI facilities.</w:t>
      </w:r>
    </w:p>
    <w:p w:rsidR="003A58A3" w:rsidRPr="00FA43E8" w:rsidRDefault="003A58A3" w:rsidP="003A58A3">
      <w:pPr>
        <w:rPr>
          <w:rFonts w:eastAsiaTheme="majorEastAsia" w:cs="Arial"/>
          <w:bCs/>
          <w:color w:val="117254"/>
          <w:sz w:val="28"/>
          <w:szCs w:val="28"/>
        </w:rPr>
      </w:pPr>
      <w:r w:rsidRPr="00FA43E8">
        <w:rPr>
          <w:rFonts w:eastAsiaTheme="majorEastAsia" w:cs="Arial"/>
          <w:bCs/>
          <w:color w:val="117254"/>
          <w:sz w:val="28"/>
          <w:szCs w:val="28"/>
        </w:rPr>
        <w:t xml:space="preserve">What </w:t>
      </w:r>
      <w:r>
        <w:rPr>
          <w:rFonts w:eastAsiaTheme="majorEastAsia" w:cs="Arial"/>
          <w:bCs/>
          <w:color w:val="117254"/>
          <w:sz w:val="28"/>
          <w:szCs w:val="28"/>
        </w:rPr>
        <w:t xml:space="preserve">TAVI </w:t>
      </w:r>
      <w:r w:rsidRPr="00FA43E8">
        <w:rPr>
          <w:rFonts w:eastAsiaTheme="majorEastAsia" w:cs="Arial"/>
          <w:bCs/>
          <w:color w:val="117254"/>
          <w:sz w:val="28"/>
          <w:szCs w:val="28"/>
        </w:rPr>
        <w:t xml:space="preserve">medical devices are listed on the Prostheses List? </w:t>
      </w:r>
    </w:p>
    <w:p w:rsidR="00117AD2" w:rsidRPr="00041DC7" w:rsidRDefault="00117AD2" w:rsidP="00851480">
      <w:pPr>
        <w:spacing w:before="0" w:after="0"/>
      </w:pPr>
      <w:r>
        <w:t xml:space="preserve">The </w:t>
      </w:r>
      <w:r w:rsidRPr="00041DC7">
        <w:t>purpose of the Prostheses List is to ensure that privately insured Australians have access to clinically effective prostheses that meet their health care needs.</w:t>
      </w:r>
    </w:p>
    <w:p w:rsidR="00117AD2" w:rsidRPr="00041DC7" w:rsidRDefault="00117AD2" w:rsidP="00851480">
      <w:pPr>
        <w:spacing w:before="0" w:after="0"/>
      </w:pPr>
    </w:p>
    <w:p w:rsidR="00851480" w:rsidRPr="00851480" w:rsidRDefault="00851480" w:rsidP="00851480">
      <w:pPr>
        <w:spacing w:before="0" w:after="0"/>
      </w:pPr>
      <w:r w:rsidRPr="00041DC7">
        <w:t>The Prostheses List</w:t>
      </w:r>
      <w:r w:rsidR="00117AD2" w:rsidRPr="00041DC7">
        <w:t xml:space="preserve"> enables surgeons to have access to and choose the optimal prostheses for patients covered by private health insurance.  It lists </w:t>
      </w:r>
      <w:r w:rsidRPr="00851480">
        <w:t xml:space="preserve">surgically implanted prostheses, human tissue items and other medical devices that private health insurers must pay benefits for when: </w:t>
      </w:r>
    </w:p>
    <w:p w:rsidR="00851480" w:rsidRPr="00851480" w:rsidRDefault="00851480" w:rsidP="00316747">
      <w:pPr>
        <w:pStyle w:val="ListParagraph"/>
        <w:numPr>
          <w:ilvl w:val="0"/>
          <w:numId w:val="32"/>
        </w:numPr>
        <w:spacing w:before="0" w:after="0"/>
        <w:ind w:left="851" w:hanging="284"/>
        <w:contextualSpacing w:val="0"/>
      </w:pPr>
      <w:r w:rsidRPr="00851480">
        <w:t>they are provided to a patient with appropriate health insurance cover</w:t>
      </w:r>
      <w:r w:rsidR="00CD201E">
        <w:t xml:space="preserve">; </w:t>
      </w:r>
    </w:p>
    <w:p w:rsidR="00851480" w:rsidRPr="00851480" w:rsidRDefault="00851480" w:rsidP="00316747">
      <w:pPr>
        <w:pStyle w:val="ListParagraph"/>
        <w:numPr>
          <w:ilvl w:val="0"/>
          <w:numId w:val="32"/>
        </w:numPr>
        <w:spacing w:before="0" w:after="0"/>
        <w:ind w:left="851" w:hanging="284"/>
        <w:contextualSpacing w:val="0"/>
      </w:pPr>
      <w:r w:rsidRPr="00851480">
        <w:t>they are provided as part of hospital treatment or hospital substitute treatme</w:t>
      </w:r>
      <w:r w:rsidR="00CD201E">
        <w:t xml:space="preserve">nt; </w:t>
      </w:r>
      <w:r w:rsidRPr="00851480">
        <w:t xml:space="preserve">and </w:t>
      </w:r>
    </w:p>
    <w:p w:rsidR="00B16C6E" w:rsidRPr="00451C19" w:rsidRDefault="00851480" w:rsidP="00301DCF">
      <w:pPr>
        <w:pStyle w:val="ListParagraph"/>
        <w:numPr>
          <w:ilvl w:val="0"/>
          <w:numId w:val="32"/>
        </w:numPr>
        <w:spacing w:before="0" w:after="0"/>
        <w:ind w:left="851" w:hanging="284"/>
        <w:contextualSpacing w:val="0"/>
      </w:pPr>
      <w:r w:rsidRPr="00851480">
        <w:t xml:space="preserve">there is a Medicare benefit payable for the </w:t>
      </w:r>
      <w:r w:rsidR="00261BF0">
        <w:t xml:space="preserve">professional </w:t>
      </w:r>
      <w:r w:rsidRPr="00851480">
        <w:t>service</w:t>
      </w:r>
      <w:r w:rsidR="00261BF0">
        <w:t xml:space="preserve"> associated with the provision of the prosthesis</w:t>
      </w:r>
      <w:r w:rsidRPr="00851480">
        <w:t>.</w:t>
      </w:r>
    </w:p>
    <w:p w:rsidR="00117AD2" w:rsidRDefault="00117AD2" w:rsidP="00851480">
      <w:pPr>
        <w:spacing w:before="0" w:after="0"/>
      </w:pPr>
    </w:p>
    <w:p w:rsidR="00851480" w:rsidRPr="00851480" w:rsidRDefault="00851480" w:rsidP="00851480">
      <w:pPr>
        <w:spacing w:before="0" w:after="0"/>
      </w:pPr>
      <w:r>
        <w:t xml:space="preserve">Three </w:t>
      </w:r>
      <w:r w:rsidRPr="00851480">
        <w:t>TAVI devices will be available on the Prosth</w:t>
      </w:r>
      <w:r>
        <w:t xml:space="preserve">eses List </w:t>
      </w:r>
      <w:r w:rsidR="00B16C6E">
        <w:t xml:space="preserve">from </w:t>
      </w:r>
      <w:r>
        <w:t>1 November </w:t>
      </w:r>
      <w:r w:rsidRPr="00851480">
        <w:t>2017 to coincide with the availability of MBS items for TAVI.</w:t>
      </w:r>
    </w:p>
    <w:p w:rsidR="00851480" w:rsidRPr="00851480" w:rsidRDefault="00851480" w:rsidP="00851480">
      <w:pPr>
        <w:spacing w:before="0" w:after="0"/>
      </w:pPr>
    </w:p>
    <w:p w:rsidR="00851480" w:rsidRDefault="00851480" w:rsidP="00851480">
      <w:pPr>
        <w:spacing w:before="0" w:after="0"/>
      </w:pPr>
      <w:r w:rsidRPr="00851480">
        <w:t>The Prostheses List minimum benefit will be $22,932.  This benefit is based on the Medical Services Advisory Committee (MSAC) determined maximum cost-effective price for devices used in TAVI.</w:t>
      </w:r>
    </w:p>
    <w:p w:rsidR="00851480" w:rsidRDefault="00851480" w:rsidP="00851480">
      <w:pPr>
        <w:spacing w:before="0" w:after="0"/>
      </w:pPr>
    </w:p>
    <w:tbl>
      <w:tblPr>
        <w:tblStyle w:val="MBSOnlineTable"/>
        <w:tblW w:w="8798" w:type="dxa"/>
        <w:tblLook w:val="03A0" w:firstRow="1" w:lastRow="0" w:firstColumn="1" w:lastColumn="1" w:noHBand="1" w:noVBand="0"/>
        <w:tblCaption w:val="MBS Items and Item Descriptors "/>
        <w:tblDescription w:val="Lists the new item MBS item numbers for TAVI 6080, 6081, and 34895 and associated schedule fees. "/>
      </w:tblPr>
      <w:tblGrid>
        <w:gridCol w:w="3209"/>
        <w:gridCol w:w="5589"/>
      </w:tblGrid>
      <w:tr w:rsidR="00CD201E" w:rsidRPr="00EC5546" w:rsidTr="00E52C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rsidR="00CD201E" w:rsidRPr="006F268F" w:rsidRDefault="00CD201E" w:rsidP="00E52CF2">
            <w:pPr>
              <w:pStyle w:val="TblLeft"/>
            </w:pPr>
            <w:r>
              <w:t>Sponsor</w:t>
            </w:r>
          </w:p>
        </w:tc>
        <w:tc>
          <w:tcPr>
            <w:tcW w:w="0" w:type="auto"/>
            <w:vAlign w:val="center"/>
          </w:tcPr>
          <w:p w:rsidR="00CD201E" w:rsidRPr="006F268F" w:rsidRDefault="00CD201E" w:rsidP="00E52CF2">
            <w:pPr>
              <w:jc w:val="left"/>
              <w:cnfStyle w:val="100000000000" w:firstRow="1" w:lastRow="0" w:firstColumn="0" w:lastColumn="0" w:oddVBand="0" w:evenVBand="0" w:oddHBand="0" w:evenHBand="0" w:firstRowFirstColumn="0" w:firstRowLastColumn="0" w:lastRowFirstColumn="0" w:lastRowLastColumn="0"/>
            </w:pPr>
            <w:r>
              <w:t>Product</w:t>
            </w:r>
          </w:p>
        </w:tc>
      </w:tr>
      <w:tr w:rsidR="00CD201E" w:rsidRPr="00EC5546" w:rsidTr="00E52CF2">
        <w:tc>
          <w:tcPr>
            <w:cnfStyle w:val="001000000000" w:firstRow="0" w:lastRow="0" w:firstColumn="1" w:lastColumn="0" w:oddVBand="0" w:evenVBand="0" w:oddHBand="0" w:evenHBand="0" w:firstRowFirstColumn="0" w:firstRowLastColumn="0" w:lastRowFirstColumn="0" w:lastRowLastColumn="0"/>
            <w:tcW w:w="0" w:type="auto"/>
            <w:vAlign w:val="center"/>
          </w:tcPr>
          <w:p w:rsidR="00CD201E" w:rsidRPr="009E6DA2" w:rsidRDefault="00CD201E" w:rsidP="00E52CF2">
            <w:pPr>
              <w:pStyle w:val="TblLeft"/>
              <w:rPr>
                <w:rFonts w:cs="Arial"/>
                <w:sz w:val="20"/>
                <w:szCs w:val="20"/>
              </w:rPr>
            </w:pPr>
            <w:r w:rsidRPr="00141787">
              <w:rPr>
                <w:rFonts w:eastAsiaTheme="minorHAnsi"/>
                <w:lang w:val="en-US"/>
              </w:rPr>
              <w:t>Medtronic Australasia Pty Ltd</w:t>
            </w:r>
          </w:p>
        </w:tc>
        <w:tc>
          <w:tcPr>
            <w:tcW w:w="0" w:type="auto"/>
            <w:vAlign w:val="center"/>
          </w:tcPr>
          <w:p w:rsidR="00CD201E" w:rsidRPr="009E6DA2" w:rsidRDefault="00CD201E" w:rsidP="00E52CF2">
            <w:pPr>
              <w:pStyle w:val="TblLeft"/>
              <w:tabs>
                <w:tab w:val="left" w:pos="1251"/>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141787">
              <w:rPr>
                <w:rFonts w:eastAsiaTheme="minorHAnsi"/>
                <w:lang w:val="en-US"/>
              </w:rPr>
              <w:t>Medtronic CoreValve™ Evolut™ R transcatheter aortic valve</w:t>
            </w:r>
          </w:p>
        </w:tc>
      </w:tr>
      <w:tr w:rsidR="00CD201E" w:rsidRPr="00EC5546" w:rsidTr="00E52CF2">
        <w:tc>
          <w:tcPr>
            <w:cnfStyle w:val="001000000000" w:firstRow="0" w:lastRow="0" w:firstColumn="1" w:lastColumn="0" w:oddVBand="0" w:evenVBand="0" w:oddHBand="0" w:evenHBand="0" w:firstRowFirstColumn="0" w:firstRowLastColumn="0" w:lastRowFirstColumn="0" w:lastRowLastColumn="0"/>
            <w:tcW w:w="0" w:type="auto"/>
            <w:vAlign w:val="center"/>
          </w:tcPr>
          <w:p w:rsidR="00CD201E" w:rsidRPr="009E6DA2" w:rsidRDefault="00CD201E" w:rsidP="00E52CF2">
            <w:pPr>
              <w:pStyle w:val="TblLeft"/>
              <w:rPr>
                <w:rFonts w:cs="Arial"/>
                <w:sz w:val="20"/>
                <w:szCs w:val="20"/>
              </w:rPr>
            </w:pPr>
            <w:r w:rsidRPr="00141787">
              <w:rPr>
                <w:rFonts w:eastAsiaTheme="minorHAnsi"/>
                <w:lang w:val="en-US"/>
              </w:rPr>
              <w:t>Edwards Lifesciences Pty Ltd</w:t>
            </w:r>
          </w:p>
        </w:tc>
        <w:tc>
          <w:tcPr>
            <w:tcW w:w="0" w:type="auto"/>
            <w:vAlign w:val="center"/>
          </w:tcPr>
          <w:p w:rsidR="00CD201E" w:rsidRPr="009E6DA2" w:rsidRDefault="00CD201E" w:rsidP="00E52CF2">
            <w:pPr>
              <w:pStyle w:val="Tb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141787">
              <w:rPr>
                <w:rFonts w:eastAsiaTheme="minorHAnsi"/>
                <w:lang w:val="en-US"/>
              </w:rPr>
              <w:t>Edwards SAPIEN 3 Transcatheter Heart Valve</w:t>
            </w:r>
          </w:p>
        </w:tc>
      </w:tr>
      <w:tr w:rsidR="00CD201E" w:rsidRPr="00EC5546" w:rsidTr="00E52CF2">
        <w:tc>
          <w:tcPr>
            <w:cnfStyle w:val="001000000000" w:firstRow="0" w:lastRow="0" w:firstColumn="1" w:lastColumn="0" w:oddVBand="0" w:evenVBand="0" w:oddHBand="0" w:evenHBand="0" w:firstRowFirstColumn="0" w:firstRowLastColumn="0" w:lastRowFirstColumn="0" w:lastRowLastColumn="0"/>
            <w:tcW w:w="0" w:type="auto"/>
            <w:vAlign w:val="center"/>
          </w:tcPr>
          <w:p w:rsidR="00CD201E" w:rsidRPr="009E6DA2" w:rsidRDefault="00CD201E" w:rsidP="00E52CF2">
            <w:pPr>
              <w:pStyle w:val="TblLeft"/>
              <w:rPr>
                <w:rFonts w:cs="Arial"/>
                <w:sz w:val="20"/>
                <w:szCs w:val="20"/>
              </w:rPr>
            </w:pPr>
            <w:r w:rsidRPr="00141787">
              <w:rPr>
                <w:rFonts w:eastAsiaTheme="minorHAnsi"/>
                <w:lang w:val="en-US"/>
              </w:rPr>
              <w:t>St Jude Medical Australia Pty Ltd</w:t>
            </w:r>
          </w:p>
        </w:tc>
        <w:tc>
          <w:tcPr>
            <w:tcW w:w="0" w:type="auto"/>
            <w:vAlign w:val="center"/>
          </w:tcPr>
          <w:p w:rsidR="00CD201E" w:rsidRPr="009E6DA2" w:rsidRDefault="00CD201E" w:rsidP="00E52CF2">
            <w:pPr>
              <w:pStyle w:val="Tb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141787">
              <w:rPr>
                <w:rFonts w:eastAsiaTheme="minorHAnsi"/>
                <w:lang w:val="en-US"/>
              </w:rPr>
              <w:t>Portico transcatheter aortic valve</w:t>
            </w:r>
          </w:p>
        </w:tc>
      </w:tr>
    </w:tbl>
    <w:p w:rsidR="00851480" w:rsidRPr="00851480" w:rsidRDefault="00851480" w:rsidP="00851480">
      <w:pPr>
        <w:spacing w:before="0" w:after="0"/>
      </w:pPr>
    </w:p>
    <w:p w:rsidR="00306FDA" w:rsidRDefault="00F718A0" w:rsidP="00301DCF">
      <w:pPr>
        <w:rPr>
          <w:rFonts w:eastAsiaTheme="majorEastAsia" w:cs="Arial"/>
          <w:bCs/>
          <w:color w:val="117254"/>
          <w:sz w:val="28"/>
          <w:szCs w:val="28"/>
        </w:rPr>
      </w:pPr>
      <w:r>
        <w:rPr>
          <w:rFonts w:eastAsiaTheme="majorEastAsia" w:cs="Arial"/>
          <w:bCs/>
          <w:color w:val="117254"/>
          <w:sz w:val="28"/>
          <w:szCs w:val="28"/>
        </w:rPr>
        <w:t>Review and monitoring of TAVI Services</w:t>
      </w:r>
    </w:p>
    <w:p w:rsidR="00306FDA" w:rsidRDefault="00164CDE" w:rsidP="00301DCF">
      <w:r>
        <w:t>The utilisation of these new TAVI items, including service volumes, provider and location details, will be monitored closely post implementation to ensure appropriate use of these items</w:t>
      </w:r>
      <w:r w:rsidR="00F718A0">
        <w:t>. A review will be conducted by the Department of Health on service utilisation at around six months post listing of these items</w:t>
      </w:r>
      <w:r>
        <w:t>.</w:t>
      </w:r>
      <w:r w:rsidR="00306FDA">
        <w:t xml:space="preserve"> </w:t>
      </w:r>
    </w:p>
    <w:p w:rsidR="00164CDE" w:rsidRDefault="00164CDE" w:rsidP="00301DCF">
      <w:r>
        <w:t xml:space="preserve">In addition the Medical Services Advisory Committee (MSAC) has implemented a </w:t>
      </w:r>
      <w:r w:rsidR="00F718A0">
        <w:t xml:space="preserve">formal </w:t>
      </w:r>
      <w:r>
        <w:t>reporting process to monitor the utilisation of MBS items that were positively supported by the MSAC, following at least 24 months since their initial MBS listing.</w:t>
      </w:r>
      <w:r w:rsidRPr="009248EC">
        <w:t xml:space="preserve"> </w:t>
      </w:r>
      <w:r>
        <w:t xml:space="preserve">The intent of this process is to (1) improve the MSAC application process by creating a feedback loop to report to MSAC the real world impacts of its positively supported applications and (2) monitor utilisation to ensure the new items or item amendments are being used as intended. </w:t>
      </w:r>
    </w:p>
    <w:p w:rsidR="000872A8" w:rsidRPr="000872A8" w:rsidRDefault="000872A8" w:rsidP="00301DCF">
      <w:pPr>
        <w:rPr>
          <w:rFonts w:eastAsiaTheme="majorEastAsia" w:cs="Arial"/>
          <w:bCs/>
          <w:color w:val="117254"/>
          <w:sz w:val="28"/>
          <w:szCs w:val="28"/>
        </w:rPr>
      </w:pPr>
      <w:r w:rsidRPr="000872A8">
        <w:rPr>
          <w:rFonts w:eastAsiaTheme="majorEastAsia" w:cs="Arial"/>
          <w:bCs/>
          <w:color w:val="117254"/>
          <w:sz w:val="28"/>
          <w:szCs w:val="28"/>
        </w:rPr>
        <w:t>Key Definitions</w:t>
      </w:r>
    </w:p>
    <w:p w:rsidR="000872A8" w:rsidRDefault="000872A8" w:rsidP="00BE2B4C">
      <w:pPr>
        <w:ind w:left="2880" w:hanging="2880"/>
      </w:pPr>
      <w:r w:rsidRPr="008B3BE6">
        <w:rPr>
          <w:b/>
        </w:rPr>
        <w:t>TAVI Patient</w:t>
      </w:r>
      <w:r>
        <w:t xml:space="preserve">: </w:t>
      </w:r>
      <w:r w:rsidR="00BE2B4C">
        <w:tab/>
      </w:r>
      <w:r w:rsidR="00BE2B4C">
        <w:rPr>
          <w:bCs/>
          <w:iCs/>
          <w:color w:val="000000"/>
          <w:lang w:eastAsia="en-AU"/>
        </w:rPr>
        <w:t>A</w:t>
      </w:r>
      <w:r w:rsidR="008B3BE6">
        <w:rPr>
          <w:bCs/>
          <w:iCs/>
          <w:color w:val="000000"/>
          <w:lang w:eastAsia="en-AU"/>
        </w:rPr>
        <w:t xml:space="preserve"> patient who,</w:t>
      </w:r>
      <w:r w:rsidR="008B3BE6" w:rsidRPr="007E4BD8">
        <w:rPr>
          <w:lang w:eastAsia="en-AU"/>
        </w:rPr>
        <w:t xml:space="preserve"> </w:t>
      </w:r>
      <w:r w:rsidR="008B3BE6">
        <w:rPr>
          <w:lang w:eastAsia="en-AU"/>
        </w:rPr>
        <w:t>as a result of a TAVI Case Conference,</w:t>
      </w:r>
      <w:r w:rsidR="008B3BE6">
        <w:rPr>
          <w:bCs/>
          <w:iCs/>
          <w:color w:val="000000"/>
          <w:lang w:eastAsia="en-AU"/>
        </w:rPr>
        <w:t xml:space="preserve"> has been assessed as having an unacceptably high risk for surgical aortic valve replacement and is recommended as being suitable to receive the service </w:t>
      </w:r>
      <w:r w:rsidR="008B3BE6">
        <w:rPr>
          <w:lang w:eastAsia="en-AU"/>
        </w:rPr>
        <w:t>described in item 38495.</w:t>
      </w:r>
    </w:p>
    <w:p w:rsidR="008B3BE6" w:rsidRPr="007E4BD8" w:rsidRDefault="008B3BE6" w:rsidP="00BE2B4C">
      <w:pPr>
        <w:shd w:val="clear" w:color="auto" w:fill="FFFFFF"/>
        <w:spacing w:before="80" w:line="260" w:lineRule="atLeast"/>
        <w:ind w:left="2880" w:hanging="2880"/>
        <w:jc w:val="both"/>
        <w:rPr>
          <w:bCs/>
          <w:iCs/>
          <w:color w:val="000000"/>
          <w:lang w:eastAsia="en-AU"/>
        </w:rPr>
      </w:pPr>
      <w:r w:rsidRPr="008B3BE6">
        <w:rPr>
          <w:b/>
          <w:bCs/>
          <w:iCs/>
          <w:color w:val="000000"/>
          <w:lang w:eastAsia="en-AU"/>
        </w:rPr>
        <w:t>TAVI Practitioner</w:t>
      </w:r>
      <w:r w:rsidR="00BE2B4C">
        <w:rPr>
          <w:bCs/>
          <w:iCs/>
          <w:color w:val="000000"/>
          <w:lang w:eastAsia="en-AU"/>
        </w:rPr>
        <w:t>:</w:t>
      </w:r>
      <w:r w:rsidR="00BE2B4C">
        <w:rPr>
          <w:bCs/>
          <w:iCs/>
          <w:color w:val="000000"/>
          <w:lang w:eastAsia="en-AU"/>
        </w:rPr>
        <w:tab/>
        <w:t>A</w:t>
      </w:r>
      <w:r>
        <w:rPr>
          <w:bCs/>
          <w:iCs/>
          <w:color w:val="000000"/>
          <w:lang w:eastAsia="en-AU"/>
        </w:rPr>
        <w:t xml:space="preserve"> </w:t>
      </w:r>
      <w:r w:rsidRPr="007E4BD8">
        <w:rPr>
          <w:bCs/>
          <w:iCs/>
          <w:color w:val="000000"/>
          <w:lang w:eastAsia="en-AU"/>
        </w:rPr>
        <w:t>cardiothoracic surgeon or interventional cardiologist</w:t>
      </w:r>
      <w:r>
        <w:rPr>
          <w:bCs/>
          <w:iCs/>
          <w:color w:val="000000"/>
          <w:lang w:eastAsia="en-AU"/>
        </w:rPr>
        <w:t xml:space="preserve"> who is accredited by the </w:t>
      </w:r>
      <w:r w:rsidRPr="000A3032">
        <w:t xml:space="preserve">Cardiac Accreditation </w:t>
      </w:r>
      <w:r>
        <w:t>Services</w:t>
      </w:r>
      <w:r w:rsidRPr="000A3032">
        <w:t xml:space="preserve"> Limited</w:t>
      </w:r>
      <w:r>
        <w:rPr>
          <w:bCs/>
          <w:iCs/>
          <w:color w:val="000000"/>
          <w:lang w:eastAsia="en-AU"/>
        </w:rPr>
        <w:t>.</w:t>
      </w:r>
    </w:p>
    <w:p w:rsidR="000872A8" w:rsidRDefault="000872A8" w:rsidP="00BE2B4C">
      <w:pPr>
        <w:ind w:left="2880" w:hanging="2880"/>
      </w:pPr>
      <w:r w:rsidRPr="008B3BE6">
        <w:rPr>
          <w:b/>
        </w:rPr>
        <w:lastRenderedPageBreak/>
        <w:t>TAVI Hospital</w:t>
      </w:r>
      <w:r>
        <w:t>:</w:t>
      </w:r>
      <w:r w:rsidR="008B3BE6">
        <w:t xml:space="preserve"> </w:t>
      </w:r>
      <w:r w:rsidR="00BE2B4C">
        <w:tab/>
      </w:r>
      <w:r w:rsidR="00BE2B4C">
        <w:rPr>
          <w:bCs/>
          <w:iCs/>
          <w:color w:val="000000"/>
          <w:lang w:eastAsia="en-AU"/>
        </w:rPr>
        <w:t xml:space="preserve">A </w:t>
      </w:r>
      <w:r w:rsidR="008B3BE6">
        <w:rPr>
          <w:bCs/>
          <w:iCs/>
          <w:color w:val="000000"/>
          <w:lang w:eastAsia="en-AU"/>
        </w:rPr>
        <w:t xml:space="preserve">hospital, as defined by subsection 121-5(5) of the </w:t>
      </w:r>
      <w:r w:rsidR="008B3BE6" w:rsidRPr="00163A20">
        <w:rPr>
          <w:bCs/>
          <w:i/>
          <w:iCs/>
          <w:color w:val="000000"/>
          <w:lang w:eastAsia="en-AU"/>
        </w:rPr>
        <w:t>Private Health Insurance Act 2007</w:t>
      </w:r>
      <w:r w:rsidR="008B3BE6">
        <w:rPr>
          <w:bCs/>
          <w:iCs/>
          <w:color w:val="000000"/>
          <w:lang w:eastAsia="en-AU"/>
        </w:rPr>
        <w:t>, that is clinically accepted as being a suitable hospital in which  the service described in Item 38495 may be performed.</w:t>
      </w:r>
    </w:p>
    <w:p w:rsidR="008B3BE6" w:rsidRDefault="000872A8" w:rsidP="008B3BE6">
      <w:pPr>
        <w:shd w:val="clear" w:color="auto" w:fill="FFFFFF"/>
        <w:spacing w:before="80" w:line="260" w:lineRule="atLeast"/>
        <w:jc w:val="both"/>
        <w:rPr>
          <w:bCs/>
          <w:iCs/>
          <w:color w:val="000000"/>
          <w:lang w:eastAsia="en-AU"/>
        </w:rPr>
      </w:pPr>
      <w:r w:rsidRPr="008B3BE6">
        <w:rPr>
          <w:b/>
        </w:rPr>
        <w:t>TAVI Case Conference</w:t>
      </w:r>
      <w:r>
        <w:t>:</w:t>
      </w:r>
      <w:r w:rsidR="008B3BE6">
        <w:t xml:space="preserve"> </w:t>
      </w:r>
      <w:r w:rsidR="00BE2B4C">
        <w:tab/>
      </w:r>
      <w:r w:rsidR="00BE2B4C">
        <w:rPr>
          <w:bCs/>
          <w:iCs/>
          <w:color w:val="000000"/>
          <w:lang w:eastAsia="en-AU"/>
        </w:rPr>
        <w:t>A</w:t>
      </w:r>
      <w:r w:rsidR="008B3BE6" w:rsidRPr="00494801">
        <w:rPr>
          <w:bCs/>
          <w:iCs/>
          <w:color w:val="000000"/>
          <w:lang w:eastAsia="en-AU"/>
        </w:rPr>
        <w:t xml:space="preserve"> process by which</w:t>
      </w:r>
      <w:r w:rsidR="008B3BE6">
        <w:rPr>
          <w:bCs/>
          <w:iCs/>
          <w:color w:val="000000"/>
          <w:lang w:eastAsia="en-AU"/>
        </w:rPr>
        <w:t>:</w:t>
      </w:r>
    </w:p>
    <w:p w:rsidR="008B3BE6" w:rsidRDefault="008B3BE6" w:rsidP="00BE2B4C">
      <w:pPr>
        <w:numPr>
          <w:ilvl w:val="0"/>
          <w:numId w:val="28"/>
        </w:numPr>
        <w:rPr>
          <w:lang w:eastAsia="en-AU"/>
        </w:rPr>
      </w:pPr>
      <w:r>
        <w:rPr>
          <w:lang w:eastAsia="en-AU"/>
        </w:rPr>
        <w:t>there is a team of 3 or more participants, where:</w:t>
      </w:r>
    </w:p>
    <w:p w:rsidR="008B3BE6" w:rsidRPr="00BE2B4C" w:rsidRDefault="008B3BE6" w:rsidP="00BE2B4C">
      <w:pPr>
        <w:pStyle w:val="HealthnumLevel3"/>
        <w:numPr>
          <w:ilvl w:val="3"/>
          <w:numId w:val="25"/>
        </w:numPr>
        <w:tabs>
          <w:tab w:val="clear" w:pos="2671"/>
          <w:tab w:val="num" w:pos="3686"/>
        </w:tabs>
        <w:ind w:firstLine="590"/>
        <w:rPr>
          <w:rFonts w:ascii="Arial" w:hAnsi="Arial"/>
          <w:color w:val="auto"/>
          <w:sz w:val="22"/>
          <w:lang w:eastAsia="en-AU"/>
        </w:rPr>
      </w:pPr>
      <w:r w:rsidRPr="00BE2B4C">
        <w:rPr>
          <w:rFonts w:ascii="Arial" w:hAnsi="Arial"/>
          <w:color w:val="auto"/>
          <w:sz w:val="22"/>
          <w:lang w:eastAsia="en-AU"/>
        </w:rPr>
        <w:t>the first participant is a cardiothoracic surgeon; and</w:t>
      </w:r>
    </w:p>
    <w:p w:rsidR="008B3BE6" w:rsidRPr="00BE2B4C" w:rsidRDefault="008B3BE6" w:rsidP="00BE2B4C">
      <w:pPr>
        <w:pStyle w:val="HealthnumLevel3"/>
        <w:numPr>
          <w:ilvl w:val="3"/>
          <w:numId w:val="25"/>
        </w:numPr>
        <w:tabs>
          <w:tab w:val="clear" w:pos="2671"/>
          <w:tab w:val="num" w:pos="3686"/>
        </w:tabs>
        <w:ind w:left="3686" w:hanging="425"/>
        <w:rPr>
          <w:rFonts w:ascii="Arial" w:hAnsi="Arial"/>
          <w:color w:val="auto"/>
          <w:sz w:val="22"/>
          <w:lang w:eastAsia="en-AU"/>
        </w:rPr>
      </w:pPr>
      <w:r w:rsidRPr="00BE2B4C">
        <w:rPr>
          <w:rFonts w:ascii="Arial" w:hAnsi="Arial"/>
          <w:color w:val="auto"/>
          <w:sz w:val="22"/>
          <w:lang w:eastAsia="en-AU"/>
        </w:rPr>
        <w:t>the second participant is an interventional cardiologist; and</w:t>
      </w:r>
    </w:p>
    <w:p w:rsidR="008B3BE6" w:rsidRPr="00BE2B4C" w:rsidRDefault="008B3BE6" w:rsidP="00BE2B4C">
      <w:pPr>
        <w:pStyle w:val="HealthnumLevel3"/>
        <w:numPr>
          <w:ilvl w:val="3"/>
          <w:numId w:val="25"/>
        </w:numPr>
        <w:tabs>
          <w:tab w:val="clear" w:pos="2671"/>
          <w:tab w:val="num" w:pos="3686"/>
        </w:tabs>
        <w:ind w:left="3686" w:hanging="425"/>
        <w:rPr>
          <w:rFonts w:ascii="Arial" w:hAnsi="Arial"/>
          <w:color w:val="auto"/>
          <w:sz w:val="22"/>
          <w:lang w:eastAsia="en-AU"/>
        </w:rPr>
      </w:pPr>
      <w:r w:rsidRPr="00BE2B4C">
        <w:rPr>
          <w:rFonts w:ascii="Arial" w:hAnsi="Arial"/>
          <w:color w:val="auto"/>
          <w:sz w:val="22"/>
          <w:lang w:eastAsia="en-AU"/>
        </w:rPr>
        <w:t>the third participant is a specialist or consultant physician who does not perform a service described in Item 38495 for the patient being assessed; and</w:t>
      </w:r>
    </w:p>
    <w:p w:rsidR="008B3BE6" w:rsidRPr="00BE2B4C" w:rsidRDefault="008B3BE6" w:rsidP="00BE2B4C">
      <w:pPr>
        <w:pStyle w:val="HealthnumLevel3"/>
        <w:numPr>
          <w:ilvl w:val="3"/>
          <w:numId w:val="25"/>
        </w:numPr>
        <w:tabs>
          <w:tab w:val="clear" w:pos="2671"/>
          <w:tab w:val="num" w:pos="3686"/>
        </w:tabs>
        <w:ind w:left="3686" w:hanging="425"/>
        <w:rPr>
          <w:rFonts w:ascii="Arial" w:hAnsi="Arial"/>
          <w:color w:val="auto"/>
          <w:sz w:val="22"/>
          <w:lang w:eastAsia="en-AU"/>
        </w:rPr>
      </w:pPr>
      <w:r w:rsidRPr="00BE2B4C">
        <w:rPr>
          <w:rFonts w:ascii="Arial" w:hAnsi="Arial"/>
          <w:color w:val="auto"/>
          <w:sz w:val="22"/>
          <w:lang w:eastAsia="en-AU"/>
        </w:rPr>
        <w:t>either the first or the second participant is also a TAVI Practitioner; and</w:t>
      </w:r>
    </w:p>
    <w:p w:rsidR="008B3BE6" w:rsidRPr="00BE2B4C" w:rsidRDefault="008B3BE6" w:rsidP="00BE2B4C">
      <w:pPr>
        <w:pStyle w:val="Healthnumlevel2"/>
        <w:numPr>
          <w:ilvl w:val="2"/>
          <w:numId w:val="25"/>
        </w:numPr>
        <w:tabs>
          <w:tab w:val="clear" w:pos="1702"/>
          <w:tab w:val="num" w:pos="3261"/>
        </w:tabs>
        <w:ind w:left="3261" w:hanging="426"/>
        <w:rPr>
          <w:rFonts w:ascii="Arial" w:hAnsi="Arial"/>
          <w:color w:val="auto"/>
          <w:sz w:val="22"/>
          <w:lang w:eastAsia="en-AU"/>
        </w:rPr>
      </w:pPr>
      <w:r w:rsidRPr="00BE2B4C">
        <w:rPr>
          <w:rFonts w:ascii="Arial" w:hAnsi="Arial"/>
          <w:color w:val="auto"/>
          <w:sz w:val="22"/>
          <w:lang w:eastAsia="en-AU"/>
        </w:rPr>
        <w:t>the team assesses a patient’s risk and technical suitability to receive the service described in Item 38495, taking into account matters such as:</w:t>
      </w:r>
    </w:p>
    <w:p w:rsidR="008B3BE6" w:rsidRPr="00BE2B4C" w:rsidRDefault="008B3BE6" w:rsidP="00BE2B4C">
      <w:pPr>
        <w:pStyle w:val="HealthnumLevel3"/>
        <w:numPr>
          <w:ilvl w:val="3"/>
          <w:numId w:val="25"/>
        </w:numPr>
        <w:tabs>
          <w:tab w:val="clear" w:pos="2671"/>
          <w:tab w:val="num" w:pos="3686"/>
        </w:tabs>
        <w:ind w:left="3686" w:hanging="425"/>
        <w:rPr>
          <w:rFonts w:ascii="Arial" w:hAnsi="Arial"/>
          <w:color w:val="auto"/>
          <w:sz w:val="22"/>
          <w:lang w:eastAsia="en-AU"/>
        </w:rPr>
      </w:pPr>
      <w:r w:rsidRPr="00BE2B4C">
        <w:rPr>
          <w:rFonts w:ascii="Arial" w:hAnsi="Arial"/>
          <w:color w:val="auto"/>
          <w:sz w:val="22"/>
          <w:lang w:eastAsia="en-AU"/>
        </w:rPr>
        <w:t>the patient’s risk and technical suitability for a surgical aortic valve replacement; and</w:t>
      </w:r>
    </w:p>
    <w:p w:rsidR="008B3BE6" w:rsidRPr="00BE2B4C" w:rsidRDefault="008B3BE6" w:rsidP="00BE2B4C">
      <w:pPr>
        <w:pStyle w:val="HealthnumLevel3"/>
        <w:numPr>
          <w:ilvl w:val="3"/>
          <w:numId w:val="25"/>
        </w:numPr>
        <w:tabs>
          <w:tab w:val="clear" w:pos="2671"/>
          <w:tab w:val="num" w:pos="3686"/>
        </w:tabs>
        <w:ind w:firstLine="590"/>
        <w:rPr>
          <w:rFonts w:ascii="Arial" w:hAnsi="Arial"/>
          <w:color w:val="auto"/>
          <w:sz w:val="22"/>
          <w:lang w:eastAsia="en-AU"/>
        </w:rPr>
      </w:pPr>
      <w:r w:rsidRPr="00BE2B4C">
        <w:rPr>
          <w:rFonts w:ascii="Arial" w:hAnsi="Arial"/>
          <w:color w:val="auto"/>
          <w:sz w:val="22"/>
          <w:lang w:eastAsia="en-AU"/>
        </w:rPr>
        <w:t>the patient’s cognitive function and frailty; and</w:t>
      </w:r>
    </w:p>
    <w:p w:rsidR="008B3BE6" w:rsidRPr="00BE2B4C" w:rsidRDefault="008B3BE6" w:rsidP="00BE2B4C">
      <w:pPr>
        <w:pStyle w:val="Healthnumlevel2"/>
        <w:numPr>
          <w:ilvl w:val="2"/>
          <w:numId w:val="25"/>
        </w:numPr>
        <w:tabs>
          <w:tab w:val="clear" w:pos="1702"/>
          <w:tab w:val="num" w:pos="3686"/>
        </w:tabs>
        <w:ind w:left="3686"/>
        <w:rPr>
          <w:rFonts w:ascii="Arial" w:hAnsi="Arial"/>
          <w:color w:val="auto"/>
          <w:sz w:val="22"/>
          <w:lang w:eastAsia="en-AU"/>
        </w:rPr>
      </w:pPr>
      <w:r w:rsidRPr="00BE2B4C">
        <w:rPr>
          <w:rFonts w:ascii="Arial" w:hAnsi="Arial"/>
          <w:color w:val="auto"/>
          <w:sz w:val="22"/>
          <w:lang w:eastAsia="en-AU"/>
        </w:rPr>
        <w:t>the result of the assessment is that the team makes a recommendation about whether or not the patient is suitable to receive the service described in Item 38495;  and</w:t>
      </w:r>
    </w:p>
    <w:p w:rsidR="000872A8" w:rsidRPr="00CD201E" w:rsidRDefault="008B3BE6" w:rsidP="00301DCF">
      <w:pPr>
        <w:pStyle w:val="Healthnumlevel2"/>
        <w:numPr>
          <w:ilvl w:val="2"/>
          <w:numId w:val="25"/>
        </w:numPr>
        <w:tabs>
          <w:tab w:val="clear" w:pos="1702"/>
          <w:tab w:val="num" w:pos="3686"/>
        </w:tabs>
        <w:ind w:left="3686"/>
        <w:rPr>
          <w:rFonts w:ascii="Arial" w:hAnsi="Arial"/>
          <w:color w:val="auto"/>
          <w:sz w:val="22"/>
          <w:lang w:eastAsia="en-AU"/>
        </w:rPr>
      </w:pPr>
      <w:r w:rsidRPr="00BE2B4C">
        <w:rPr>
          <w:rFonts w:ascii="Arial" w:hAnsi="Arial"/>
          <w:color w:val="auto"/>
          <w:sz w:val="22"/>
          <w:lang w:eastAsia="en-AU"/>
        </w:rPr>
        <w:t>the particulars of the assessment and recommendation are recorded in writing.</w:t>
      </w:r>
    </w:p>
    <w:p w:rsidR="00CD201E" w:rsidRDefault="000872A8" w:rsidP="00BE2B4C">
      <w:pPr>
        <w:shd w:val="clear" w:color="auto" w:fill="FFFFFF"/>
        <w:spacing w:before="80" w:line="260" w:lineRule="atLeast"/>
        <w:ind w:left="3828" w:hanging="3828"/>
        <w:jc w:val="both"/>
        <w:rPr>
          <w:b/>
        </w:rPr>
      </w:pPr>
      <w:r w:rsidRPr="008B3BE6">
        <w:rPr>
          <w:b/>
        </w:rPr>
        <w:t xml:space="preserve">TAVI Case Conference </w:t>
      </w:r>
    </w:p>
    <w:p w:rsidR="008B3BE6" w:rsidRDefault="000872A8" w:rsidP="00CD201E">
      <w:pPr>
        <w:shd w:val="clear" w:color="auto" w:fill="FFFFFF"/>
        <w:spacing w:before="80" w:line="260" w:lineRule="atLeast"/>
        <w:ind w:left="2835" w:hanging="2835"/>
        <w:jc w:val="both"/>
      </w:pPr>
      <w:r w:rsidRPr="008B3BE6">
        <w:rPr>
          <w:b/>
        </w:rPr>
        <w:t>Coordinator</w:t>
      </w:r>
      <w:r w:rsidR="008B3BE6">
        <w:rPr>
          <w:b/>
        </w:rPr>
        <w:t xml:space="preserve">: </w:t>
      </w:r>
      <w:r w:rsidR="00CD201E">
        <w:rPr>
          <w:b/>
        </w:rPr>
        <w:tab/>
      </w:r>
      <w:r w:rsidR="008B3BE6" w:rsidRPr="008B3BE6">
        <w:t>undertakes</w:t>
      </w:r>
      <w:r w:rsidR="008B3BE6">
        <w:t xml:space="preserve"> all of the following activities in relation to a TAVI Case Conference:</w:t>
      </w:r>
    </w:p>
    <w:p w:rsidR="008B3BE6" w:rsidRDefault="008B3BE6" w:rsidP="00CD201E">
      <w:pPr>
        <w:pStyle w:val="ListParagraph"/>
        <w:numPr>
          <w:ilvl w:val="0"/>
          <w:numId w:val="26"/>
        </w:numPr>
        <w:tabs>
          <w:tab w:val="left" w:pos="3686"/>
        </w:tabs>
        <w:spacing w:before="0" w:after="0"/>
        <w:ind w:left="3686" w:hanging="851"/>
      </w:pPr>
      <w:r>
        <w:rPr>
          <w:color w:val="000000"/>
          <w:lang w:eastAsia="en-AU"/>
        </w:rPr>
        <w:t xml:space="preserve">ensuring that the </w:t>
      </w:r>
      <w:r w:rsidRPr="00AC48FE">
        <w:rPr>
          <w:color w:val="000000"/>
          <w:lang w:eastAsia="en-AU"/>
        </w:rPr>
        <w:t>patient</w:t>
      </w:r>
      <w:r>
        <w:rPr>
          <w:color w:val="000000"/>
          <w:lang w:eastAsia="en-AU"/>
        </w:rPr>
        <w:t xml:space="preserve"> is aware of </w:t>
      </w:r>
      <w:r w:rsidRPr="00AC48FE">
        <w:rPr>
          <w:color w:val="000000"/>
          <w:lang w:eastAsia="en-AU"/>
        </w:rPr>
        <w:t xml:space="preserve">the </w:t>
      </w:r>
      <w:r>
        <w:rPr>
          <w:color w:val="000000"/>
          <w:lang w:eastAsia="en-AU"/>
        </w:rPr>
        <w:t xml:space="preserve">purpose and </w:t>
      </w:r>
      <w:r w:rsidRPr="00AC48FE">
        <w:rPr>
          <w:color w:val="000000"/>
          <w:lang w:eastAsia="en-AU"/>
        </w:rPr>
        <w:t xml:space="preserve">nature of the </w:t>
      </w:r>
      <w:r>
        <w:rPr>
          <w:color w:val="000000"/>
          <w:lang w:eastAsia="en-AU"/>
        </w:rPr>
        <w:t>patient’s TAVI Case C</w:t>
      </w:r>
      <w:r w:rsidRPr="00AC48FE">
        <w:rPr>
          <w:color w:val="000000"/>
          <w:lang w:eastAsia="en-AU"/>
        </w:rPr>
        <w:t>onference</w:t>
      </w:r>
      <w:r>
        <w:rPr>
          <w:color w:val="000000"/>
          <w:lang w:eastAsia="en-AU"/>
        </w:rPr>
        <w:t xml:space="preserve"> and has consented to their TAVI Case Conference;</w:t>
      </w:r>
    </w:p>
    <w:p w:rsidR="008B3BE6" w:rsidRDefault="008B3BE6" w:rsidP="00CD201E">
      <w:pPr>
        <w:pStyle w:val="ListParagraph"/>
        <w:numPr>
          <w:ilvl w:val="0"/>
          <w:numId w:val="26"/>
        </w:numPr>
        <w:tabs>
          <w:tab w:val="left" w:pos="3686"/>
        </w:tabs>
        <w:spacing w:before="0" w:after="0"/>
        <w:ind w:left="3686" w:hanging="851"/>
      </w:pPr>
      <w:r w:rsidRPr="00AC48FE">
        <w:t>recording the day the conference was held</w:t>
      </w:r>
      <w:r>
        <w:t>,</w:t>
      </w:r>
      <w:r w:rsidRPr="00AC48FE">
        <w:t xml:space="preserve"> and the times the conference started and ended</w:t>
      </w:r>
      <w:r>
        <w:t>;</w:t>
      </w:r>
    </w:p>
    <w:p w:rsidR="008B3BE6" w:rsidRPr="002F0473" w:rsidRDefault="008B3BE6" w:rsidP="00CD201E">
      <w:pPr>
        <w:pStyle w:val="ListParagraph"/>
        <w:numPr>
          <w:ilvl w:val="0"/>
          <w:numId w:val="26"/>
        </w:numPr>
        <w:tabs>
          <w:tab w:val="left" w:pos="3686"/>
        </w:tabs>
        <w:spacing w:before="0" w:after="0"/>
        <w:ind w:left="3686" w:hanging="851"/>
      </w:pPr>
      <w:r w:rsidRPr="00AC48FE">
        <w:rPr>
          <w:color w:val="000000"/>
          <w:lang w:eastAsia="en-AU"/>
        </w:rPr>
        <w:t>recording the names of the participants</w:t>
      </w:r>
      <w:r>
        <w:rPr>
          <w:color w:val="000000"/>
          <w:lang w:eastAsia="en-AU"/>
        </w:rPr>
        <w:t xml:space="preserve"> of the conference;</w:t>
      </w:r>
    </w:p>
    <w:p w:rsidR="008B3BE6" w:rsidRDefault="008B3BE6" w:rsidP="00CD201E">
      <w:pPr>
        <w:pStyle w:val="ListParagraph"/>
        <w:numPr>
          <w:ilvl w:val="0"/>
          <w:numId w:val="26"/>
        </w:numPr>
        <w:tabs>
          <w:tab w:val="left" w:pos="3686"/>
        </w:tabs>
        <w:spacing w:before="0" w:after="0"/>
        <w:ind w:left="3686" w:hanging="851"/>
      </w:pPr>
      <w:r w:rsidRPr="00AC48FE">
        <w:rPr>
          <w:color w:val="000000"/>
          <w:lang w:eastAsia="en-AU"/>
        </w:rPr>
        <w:t xml:space="preserve">provision of expertise to inform the </w:t>
      </w:r>
      <w:r>
        <w:rPr>
          <w:color w:val="000000"/>
          <w:lang w:eastAsia="en-AU"/>
        </w:rPr>
        <w:t xml:space="preserve">recommendation resulting from </w:t>
      </w:r>
      <w:r w:rsidRPr="00AC48FE">
        <w:rPr>
          <w:color w:val="000000"/>
          <w:lang w:eastAsia="en-AU"/>
        </w:rPr>
        <w:t xml:space="preserve"> the case conference</w:t>
      </w:r>
      <w:r>
        <w:rPr>
          <w:color w:val="000000"/>
          <w:lang w:eastAsia="en-AU"/>
        </w:rPr>
        <w:t>;</w:t>
      </w:r>
    </w:p>
    <w:p w:rsidR="008B3BE6" w:rsidRPr="002F0473" w:rsidRDefault="008B3BE6" w:rsidP="00CD201E">
      <w:pPr>
        <w:pStyle w:val="ListParagraph"/>
        <w:numPr>
          <w:ilvl w:val="0"/>
          <w:numId w:val="26"/>
        </w:numPr>
        <w:tabs>
          <w:tab w:val="left" w:pos="3686"/>
        </w:tabs>
        <w:spacing w:before="0" w:after="0"/>
        <w:ind w:left="3686" w:hanging="851"/>
      </w:pPr>
      <w:r w:rsidRPr="00AC48FE">
        <w:rPr>
          <w:color w:val="000000"/>
          <w:lang w:eastAsia="en-AU"/>
        </w:rPr>
        <w:t>recording</w:t>
      </w:r>
      <w:r>
        <w:rPr>
          <w:color w:val="000000"/>
          <w:lang w:eastAsia="en-AU"/>
        </w:rPr>
        <w:t xml:space="preserve"> minutes of</w:t>
      </w:r>
      <w:r w:rsidRPr="00AC48FE">
        <w:rPr>
          <w:color w:val="000000"/>
          <w:lang w:eastAsia="en-AU"/>
        </w:rPr>
        <w:t xml:space="preserve"> </w:t>
      </w:r>
      <w:r>
        <w:rPr>
          <w:color w:val="000000"/>
          <w:lang w:eastAsia="en-AU"/>
        </w:rPr>
        <w:t xml:space="preserve">the TAVI Case Conference including </w:t>
      </w:r>
      <w:r w:rsidRPr="00AC48FE">
        <w:rPr>
          <w:color w:val="000000"/>
          <w:lang w:eastAsia="en-AU"/>
        </w:rPr>
        <w:t xml:space="preserve">the </w:t>
      </w:r>
      <w:r>
        <w:rPr>
          <w:color w:val="000000"/>
          <w:lang w:eastAsia="en-AU"/>
        </w:rPr>
        <w:t>recommendation resulting from</w:t>
      </w:r>
      <w:r w:rsidRPr="00AC48FE">
        <w:rPr>
          <w:color w:val="000000"/>
          <w:lang w:eastAsia="en-AU"/>
        </w:rPr>
        <w:t xml:space="preserve"> the conference</w:t>
      </w:r>
      <w:r>
        <w:rPr>
          <w:color w:val="000000"/>
          <w:lang w:eastAsia="en-AU"/>
        </w:rPr>
        <w:t>;</w:t>
      </w:r>
    </w:p>
    <w:p w:rsidR="000872A8" w:rsidRDefault="008B3BE6" w:rsidP="00301DCF">
      <w:pPr>
        <w:pStyle w:val="ListParagraph"/>
        <w:numPr>
          <w:ilvl w:val="0"/>
          <w:numId w:val="26"/>
        </w:numPr>
        <w:tabs>
          <w:tab w:val="left" w:pos="3686"/>
        </w:tabs>
        <w:spacing w:before="0" w:after="0"/>
        <w:ind w:left="3686" w:hanging="851"/>
      </w:pPr>
      <w:r>
        <w:rPr>
          <w:color w:val="000000"/>
          <w:lang w:eastAsia="en-AU"/>
        </w:rPr>
        <w:t xml:space="preserve">ensuring that the patient is aware of </w:t>
      </w:r>
      <w:r w:rsidRPr="00AC48FE">
        <w:rPr>
          <w:color w:val="000000"/>
          <w:lang w:eastAsia="en-AU"/>
        </w:rPr>
        <w:t>th</w:t>
      </w:r>
      <w:r>
        <w:rPr>
          <w:color w:val="000000"/>
          <w:lang w:eastAsia="en-AU"/>
        </w:rPr>
        <w:t>e recommendation.</w:t>
      </w:r>
    </w:p>
    <w:p w:rsidR="00CD201E" w:rsidRDefault="000872A8" w:rsidP="00CD201E">
      <w:pPr>
        <w:shd w:val="clear" w:color="auto" w:fill="FFFFFF"/>
        <w:spacing w:line="260" w:lineRule="atLeast"/>
        <w:jc w:val="both"/>
        <w:rPr>
          <w:b/>
        </w:rPr>
      </w:pPr>
      <w:r w:rsidRPr="008B3BE6">
        <w:rPr>
          <w:b/>
        </w:rPr>
        <w:t xml:space="preserve">TAVI Case Conference </w:t>
      </w:r>
    </w:p>
    <w:p w:rsidR="008B3BE6" w:rsidRDefault="008B3BE6" w:rsidP="00CD201E">
      <w:pPr>
        <w:shd w:val="clear" w:color="auto" w:fill="FFFFFF"/>
        <w:spacing w:line="260" w:lineRule="atLeast"/>
        <w:ind w:left="2835" w:hanging="2835"/>
        <w:jc w:val="both"/>
        <w:rPr>
          <w:bCs/>
          <w:iCs/>
          <w:color w:val="000000"/>
          <w:lang w:eastAsia="en-AU"/>
        </w:rPr>
      </w:pPr>
      <w:r w:rsidRPr="008B3BE6">
        <w:rPr>
          <w:b/>
        </w:rPr>
        <w:t>Attendee</w:t>
      </w:r>
      <w:r w:rsidR="009C5054">
        <w:t>:</w:t>
      </w:r>
      <w:r w:rsidR="009C5054">
        <w:tab/>
      </w:r>
      <w:r>
        <w:rPr>
          <w:bCs/>
          <w:iCs/>
          <w:color w:val="000000"/>
          <w:lang w:eastAsia="en-AU"/>
        </w:rPr>
        <w:t>undertakes all of the following activities in relation to a TAVI Case Conference:</w:t>
      </w:r>
    </w:p>
    <w:p w:rsidR="008B3BE6" w:rsidRDefault="008B3BE6" w:rsidP="00CD201E">
      <w:pPr>
        <w:pStyle w:val="ListParagraph"/>
        <w:numPr>
          <w:ilvl w:val="0"/>
          <w:numId w:val="27"/>
        </w:numPr>
        <w:tabs>
          <w:tab w:val="left" w:pos="3686"/>
        </w:tabs>
        <w:spacing w:before="0" w:after="0"/>
        <w:ind w:left="3686" w:hanging="851"/>
      </w:pPr>
      <w:r w:rsidRPr="00AC48FE">
        <w:lastRenderedPageBreak/>
        <w:t>r</w:t>
      </w:r>
      <w:r>
        <w:t>etaining a record of</w:t>
      </w:r>
      <w:r w:rsidRPr="00AC48FE">
        <w:t xml:space="preserve"> the day the conference was held</w:t>
      </w:r>
      <w:r>
        <w:t>,</w:t>
      </w:r>
      <w:r w:rsidRPr="00AC48FE">
        <w:t xml:space="preserve"> and the times the conference started and ended</w:t>
      </w:r>
      <w:r>
        <w:t>;</w:t>
      </w:r>
    </w:p>
    <w:p w:rsidR="008B3BE6" w:rsidRPr="00AC48FE" w:rsidRDefault="008B3BE6" w:rsidP="00CD201E">
      <w:pPr>
        <w:pStyle w:val="ListParagraph"/>
        <w:numPr>
          <w:ilvl w:val="0"/>
          <w:numId w:val="27"/>
        </w:numPr>
        <w:tabs>
          <w:tab w:val="left" w:pos="3686"/>
        </w:tabs>
        <w:spacing w:before="0" w:after="0"/>
        <w:ind w:left="3686" w:hanging="851"/>
      </w:pPr>
      <w:r>
        <w:rPr>
          <w:color w:val="000000"/>
          <w:lang w:eastAsia="en-AU"/>
        </w:rPr>
        <w:t xml:space="preserve">retaining a </w:t>
      </w:r>
      <w:r w:rsidRPr="00AC48FE">
        <w:rPr>
          <w:color w:val="000000"/>
          <w:lang w:eastAsia="en-AU"/>
        </w:rPr>
        <w:t>record</w:t>
      </w:r>
      <w:r>
        <w:rPr>
          <w:color w:val="000000"/>
          <w:lang w:eastAsia="en-AU"/>
        </w:rPr>
        <w:t xml:space="preserve"> of</w:t>
      </w:r>
      <w:r w:rsidRPr="00AC48FE">
        <w:rPr>
          <w:color w:val="000000"/>
          <w:lang w:eastAsia="en-AU"/>
        </w:rPr>
        <w:t xml:space="preserve"> the names of the participants</w:t>
      </w:r>
      <w:r>
        <w:rPr>
          <w:color w:val="000000"/>
          <w:lang w:eastAsia="en-AU"/>
        </w:rPr>
        <w:t>;</w:t>
      </w:r>
    </w:p>
    <w:p w:rsidR="008B3BE6" w:rsidRDefault="008B3BE6" w:rsidP="00CD201E">
      <w:pPr>
        <w:pStyle w:val="ListParagraph"/>
        <w:numPr>
          <w:ilvl w:val="0"/>
          <w:numId w:val="27"/>
        </w:numPr>
        <w:tabs>
          <w:tab w:val="left" w:pos="3686"/>
        </w:tabs>
        <w:spacing w:before="0" w:after="0"/>
        <w:ind w:left="3686" w:hanging="851"/>
      </w:pPr>
      <w:r w:rsidRPr="00AC48FE">
        <w:rPr>
          <w:color w:val="000000"/>
          <w:lang w:eastAsia="en-AU"/>
        </w:rPr>
        <w:t xml:space="preserve">provision of expertise to inform the </w:t>
      </w:r>
      <w:r>
        <w:rPr>
          <w:color w:val="000000"/>
          <w:lang w:eastAsia="en-AU"/>
        </w:rPr>
        <w:t>recommendation resulting from</w:t>
      </w:r>
      <w:r w:rsidRPr="00AC48FE">
        <w:rPr>
          <w:color w:val="000000"/>
          <w:lang w:eastAsia="en-AU"/>
        </w:rPr>
        <w:t xml:space="preserve"> the case conference</w:t>
      </w:r>
      <w:r>
        <w:rPr>
          <w:color w:val="000000"/>
          <w:lang w:eastAsia="en-AU"/>
        </w:rPr>
        <w:t>;</w:t>
      </w:r>
    </w:p>
    <w:p w:rsidR="000872A8" w:rsidRDefault="008B3BE6" w:rsidP="00CD201E">
      <w:pPr>
        <w:pStyle w:val="ListParagraph"/>
        <w:numPr>
          <w:ilvl w:val="0"/>
          <w:numId w:val="27"/>
        </w:numPr>
        <w:tabs>
          <w:tab w:val="left" w:pos="3686"/>
        </w:tabs>
        <w:spacing w:before="0" w:after="0"/>
        <w:ind w:left="3686" w:hanging="851"/>
      </w:pPr>
      <w:r>
        <w:rPr>
          <w:color w:val="000000"/>
          <w:lang w:eastAsia="en-AU"/>
        </w:rPr>
        <w:t xml:space="preserve">retaining a </w:t>
      </w:r>
      <w:r w:rsidRPr="00AC48FE">
        <w:rPr>
          <w:color w:val="000000"/>
          <w:lang w:eastAsia="en-AU"/>
        </w:rPr>
        <w:t>record</w:t>
      </w:r>
      <w:r>
        <w:rPr>
          <w:color w:val="000000"/>
          <w:lang w:eastAsia="en-AU"/>
        </w:rPr>
        <w:t xml:space="preserve"> of </w:t>
      </w:r>
      <w:r w:rsidRPr="00AC48FE">
        <w:rPr>
          <w:color w:val="000000"/>
          <w:lang w:eastAsia="en-AU"/>
        </w:rPr>
        <w:t xml:space="preserve">the </w:t>
      </w:r>
      <w:r>
        <w:rPr>
          <w:color w:val="000000"/>
          <w:lang w:eastAsia="en-AU"/>
        </w:rPr>
        <w:t xml:space="preserve">recommendation resulting from </w:t>
      </w:r>
      <w:r w:rsidRPr="00AC48FE">
        <w:rPr>
          <w:color w:val="000000"/>
          <w:lang w:eastAsia="en-AU"/>
        </w:rPr>
        <w:t xml:space="preserve"> the conference</w:t>
      </w:r>
      <w:r>
        <w:rPr>
          <w:color w:val="000000"/>
          <w:lang w:eastAsia="en-AU"/>
        </w:rPr>
        <w:t>.</w:t>
      </w:r>
    </w:p>
    <w:p w:rsidR="000872A8" w:rsidRDefault="000872A8" w:rsidP="00301DCF"/>
    <w:p w:rsidR="00301DCF" w:rsidRPr="00FA43E8" w:rsidRDefault="00301DCF" w:rsidP="00301DCF">
      <w:pPr>
        <w:rPr>
          <w:rFonts w:eastAsiaTheme="majorEastAsia" w:cs="Arial"/>
          <w:bCs/>
          <w:color w:val="117254"/>
          <w:sz w:val="28"/>
          <w:szCs w:val="28"/>
        </w:rPr>
      </w:pPr>
      <w:r w:rsidRPr="00FA43E8">
        <w:rPr>
          <w:rFonts w:eastAsiaTheme="majorEastAsia" w:cs="Arial"/>
          <w:bCs/>
          <w:color w:val="117254"/>
          <w:sz w:val="28"/>
          <w:szCs w:val="28"/>
        </w:rPr>
        <w:t xml:space="preserve">Further information </w:t>
      </w:r>
    </w:p>
    <w:p w:rsidR="00EC73C4" w:rsidRPr="00EC73C4" w:rsidRDefault="00301DCF" w:rsidP="00EC73C4">
      <w:r>
        <w:t xml:space="preserve">For further information on </w:t>
      </w:r>
      <w:r w:rsidR="00B16C6E">
        <w:t xml:space="preserve">TAVI </w:t>
      </w:r>
      <w:r>
        <w:t xml:space="preserve">accreditation requirements, please visit the Cardiac Accreditation Services Limited </w:t>
      </w:r>
      <w:hyperlink r:id="rId11" w:history="1">
        <w:r w:rsidR="00942D09" w:rsidRPr="00437E27">
          <w:rPr>
            <w:rStyle w:val="Hyperlink"/>
          </w:rPr>
          <w:t>website</w:t>
        </w:r>
      </w:hyperlink>
      <w:r w:rsidR="006B666F">
        <w:t xml:space="preserve"> or contact the Cardiac Accreditation Services Limited. </w:t>
      </w:r>
    </w:p>
    <w:tbl>
      <w:tblPr>
        <w:tblW w:w="9992" w:type="dxa"/>
        <w:tblLook w:val="04A0" w:firstRow="1" w:lastRow="0" w:firstColumn="1" w:lastColumn="0" w:noHBand="0" w:noVBand="1"/>
      </w:tblPr>
      <w:tblGrid>
        <w:gridCol w:w="9548"/>
        <w:gridCol w:w="222"/>
        <w:gridCol w:w="222"/>
      </w:tblGrid>
      <w:tr w:rsidR="00EC73C4" w:rsidRPr="00BC77A3" w:rsidTr="00301DCF">
        <w:tc>
          <w:tcPr>
            <w:tcW w:w="9548" w:type="dxa"/>
          </w:tcPr>
          <w:p w:rsidR="00EC73C4" w:rsidRPr="00EC73C4" w:rsidRDefault="00EC73C4" w:rsidP="00301DCF"/>
        </w:tc>
        <w:tc>
          <w:tcPr>
            <w:tcW w:w="222" w:type="dxa"/>
          </w:tcPr>
          <w:p w:rsidR="00EC73C4" w:rsidRPr="00EC73C4" w:rsidRDefault="00EC73C4" w:rsidP="00EC73C4"/>
        </w:tc>
        <w:tc>
          <w:tcPr>
            <w:tcW w:w="222" w:type="dxa"/>
          </w:tcPr>
          <w:p w:rsidR="00EC73C4" w:rsidRPr="00EC73C4" w:rsidRDefault="00EC73C4" w:rsidP="00EC73C4"/>
        </w:tc>
      </w:tr>
    </w:tbl>
    <w:p w:rsidR="00EC73C4" w:rsidRDefault="00EC73C4" w:rsidP="005E7304"/>
    <w:sectPr w:rsidR="00EC73C4"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ED" w:rsidRDefault="00D712ED" w:rsidP="00743091">
      <w:r>
        <w:separator/>
      </w:r>
    </w:p>
    <w:p w:rsidR="00D712ED" w:rsidRDefault="00D712ED" w:rsidP="00743091"/>
    <w:p w:rsidR="00D712ED" w:rsidRDefault="00D712ED" w:rsidP="00743091"/>
  </w:endnote>
  <w:endnote w:type="continuationSeparator" w:id="0">
    <w:p w:rsidR="00D712ED" w:rsidRDefault="00D712ED" w:rsidP="00743091">
      <w:r>
        <w:continuationSeparator/>
      </w:r>
    </w:p>
    <w:p w:rsidR="00D712ED" w:rsidRDefault="00D712ED" w:rsidP="00743091"/>
    <w:p w:rsidR="00D712ED" w:rsidRDefault="00D712ED"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243BC6">
      <w:rPr>
        <w:rStyle w:val="Strong"/>
        <w:bCs w:val="0"/>
        <w:lang w:val="en-US"/>
      </w:rPr>
      <w:t>Error! Reference source not found.</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4528CD">
      <w:rPr>
        <w:noProof/>
      </w:rPr>
      <w:t>1</w:t>
    </w:r>
    <w:r w:rsidR="00690C0B" w:rsidRPr="00A563EC">
      <w:fldChar w:fldCharType="end"/>
    </w:r>
    <w:r w:rsidR="00690C0B" w:rsidRPr="00A563EC">
      <w:t xml:space="preserve"> of </w:t>
    </w:r>
    <w:r w:rsidR="004528CD">
      <w:fldChar w:fldCharType="begin"/>
    </w:r>
    <w:r w:rsidR="004528CD">
      <w:instrText xml:space="preserve"> NUMPAGES  \* Arabic  \* MERGEFORMAT </w:instrText>
    </w:r>
    <w:r w:rsidR="004528CD">
      <w:fldChar w:fldCharType="separate"/>
    </w:r>
    <w:r w:rsidR="004528CD">
      <w:rPr>
        <w:noProof/>
      </w:rPr>
      <w:t>6</w:t>
    </w:r>
    <w:r w:rsidR="004528CD">
      <w:rPr>
        <w:noProof/>
      </w:rPr>
      <w:fldChar w:fldCharType="end"/>
    </w:r>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ED" w:rsidRDefault="00D712ED" w:rsidP="00743091">
      <w:r>
        <w:separator/>
      </w:r>
    </w:p>
    <w:p w:rsidR="00D712ED" w:rsidRDefault="00D712ED" w:rsidP="00743091"/>
    <w:p w:rsidR="00D712ED" w:rsidRDefault="00D712ED" w:rsidP="00743091"/>
  </w:footnote>
  <w:footnote w:type="continuationSeparator" w:id="0">
    <w:p w:rsidR="00D712ED" w:rsidRDefault="00D712ED" w:rsidP="00743091">
      <w:r>
        <w:continuationSeparator/>
      </w:r>
    </w:p>
    <w:p w:rsidR="00D712ED" w:rsidRDefault="00D712ED" w:rsidP="00743091"/>
    <w:p w:rsidR="00D712ED" w:rsidRDefault="00D712ED"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6377FF" w:rsidP="00743091">
    <w:pPr>
      <w:pBdr>
        <w:bottom w:val="single" w:sz="12" w:space="12" w:color="117254"/>
      </w:pBdr>
    </w:pPr>
    <w:r>
      <w:rPr>
        <w:noProof/>
        <w:lang w:eastAsia="en-AU"/>
      </w:rPr>
      <w:drawing>
        <wp:inline distT="0" distB="0" distL="0" distR="0">
          <wp:extent cx="2496820" cy="60452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0775F4A"/>
    <w:multiLevelType w:val="hybridMultilevel"/>
    <w:tmpl w:val="D89205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2">
    <w:nsid w:val="16E63237"/>
    <w:multiLevelType w:val="hybridMultilevel"/>
    <w:tmpl w:val="78E0BD82"/>
    <w:lvl w:ilvl="0" w:tplc="40E4B4B0">
      <w:start w:val="1"/>
      <w:numFmt w:val="lowerLetter"/>
      <w:lvlText w:val="(%1)"/>
      <w:lvlJc w:val="left"/>
      <w:pPr>
        <w:ind w:left="1964" w:hanging="360"/>
      </w:pPr>
      <w:rPr>
        <w:rFonts w:hint="default"/>
      </w:rPr>
    </w:lvl>
    <w:lvl w:ilvl="1" w:tplc="0C090019" w:tentative="1">
      <w:start w:val="1"/>
      <w:numFmt w:val="lowerLetter"/>
      <w:lvlText w:val="%2."/>
      <w:lvlJc w:val="left"/>
      <w:pPr>
        <w:ind w:left="2684" w:hanging="360"/>
      </w:pPr>
    </w:lvl>
    <w:lvl w:ilvl="2" w:tplc="0C09001B" w:tentative="1">
      <w:start w:val="1"/>
      <w:numFmt w:val="lowerRoman"/>
      <w:lvlText w:val="%3."/>
      <w:lvlJc w:val="right"/>
      <w:pPr>
        <w:ind w:left="3404" w:hanging="180"/>
      </w:pPr>
    </w:lvl>
    <w:lvl w:ilvl="3" w:tplc="0C09000F" w:tentative="1">
      <w:start w:val="1"/>
      <w:numFmt w:val="decimal"/>
      <w:lvlText w:val="%4."/>
      <w:lvlJc w:val="left"/>
      <w:pPr>
        <w:ind w:left="4124" w:hanging="360"/>
      </w:pPr>
    </w:lvl>
    <w:lvl w:ilvl="4" w:tplc="0C090019" w:tentative="1">
      <w:start w:val="1"/>
      <w:numFmt w:val="lowerLetter"/>
      <w:lvlText w:val="%5."/>
      <w:lvlJc w:val="left"/>
      <w:pPr>
        <w:ind w:left="4844" w:hanging="360"/>
      </w:pPr>
    </w:lvl>
    <w:lvl w:ilvl="5" w:tplc="0C09001B" w:tentative="1">
      <w:start w:val="1"/>
      <w:numFmt w:val="lowerRoman"/>
      <w:lvlText w:val="%6."/>
      <w:lvlJc w:val="right"/>
      <w:pPr>
        <w:ind w:left="5564" w:hanging="180"/>
      </w:pPr>
    </w:lvl>
    <w:lvl w:ilvl="6" w:tplc="0C09000F" w:tentative="1">
      <w:start w:val="1"/>
      <w:numFmt w:val="decimal"/>
      <w:lvlText w:val="%7."/>
      <w:lvlJc w:val="left"/>
      <w:pPr>
        <w:ind w:left="6284" w:hanging="360"/>
      </w:pPr>
    </w:lvl>
    <w:lvl w:ilvl="7" w:tplc="0C090019" w:tentative="1">
      <w:start w:val="1"/>
      <w:numFmt w:val="lowerLetter"/>
      <w:lvlText w:val="%8."/>
      <w:lvlJc w:val="left"/>
      <w:pPr>
        <w:ind w:left="7004" w:hanging="360"/>
      </w:pPr>
    </w:lvl>
    <w:lvl w:ilvl="8" w:tplc="0C09001B" w:tentative="1">
      <w:start w:val="1"/>
      <w:numFmt w:val="lowerRoman"/>
      <w:lvlText w:val="%9."/>
      <w:lvlJc w:val="right"/>
      <w:pPr>
        <w:ind w:left="7724" w:hanging="180"/>
      </w:pPr>
    </w:lvl>
  </w:abstractNum>
  <w:abstractNum w:abstractNumId="13">
    <w:nsid w:val="178F0454"/>
    <w:multiLevelType w:val="hybridMultilevel"/>
    <w:tmpl w:val="6CD0F2E2"/>
    <w:lvl w:ilvl="0" w:tplc="49C6B6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075FF8"/>
    <w:multiLevelType w:val="multilevel"/>
    <w:tmpl w:val="88E2E4E8"/>
    <w:name w:val="Legal"/>
    <w:lvl w:ilvl="0">
      <w:start w:val="1"/>
      <w:numFmt w:val="decimal"/>
      <w:pStyle w:val="Level1Leg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Level2Legal"/>
      <w:lvlText w:val="%1.%2"/>
      <w:lvlJc w:val="left"/>
      <w:pPr>
        <w:tabs>
          <w:tab w:val="num" w:pos="720"/>
        </w:tabs>
        <w:ind w:left="720" w:hanging="720"/>
      </w:pPr>
      <w:rPr>
        <w:b w:val="0"/>
        <w:sz w:val="22"/>
        <w:szCs w:val="22"/>
      </w:rPr>
    </w:lvl>
    <w:lvl w:ilvl="2">
      <w:start w:val="1"/>
      <w:numFmt w:val="lowerLetter"/>
      <w:pStyle w:val="Level3Legal"/>
      <w:lvlText w:val="(%3)"/>
      <w:lvlJc w:val="left"/>
      <w:pPr>
        <w:tabs>
          <w:tab w:val="num" w:pos="1440"/>
        </w:tabs>
        <w:ind w:left="1440" w:hanging="720"/>
      </w:pPr>
      <w:rPr>
        <w:b w:val="0"/>
        <w:sz w:val="20"/>
        <w:szCs w:val="20"/>
      </w:rPr>
    </w:lvl>
    <w:lvl w:ilvl="3">
      <w:start w:val="1"/>
      <w:numFmt w:val="lowerRoman"/>
      <w:pStyle w:val="Level4Legal"/>
      <w:lvlText w:val="(%4)"/>
      <w:lvlJc w:val="left"/>
      <w:pPr>
        <w:tabs>
          <w:tab w:val="num" w:pos="2160"/>
        </w:tabs>
        <w:ind w:left="2160" w:hanging="720"/>
      </w:pPr>
      <w:rPr>
        <w:rFonts w:ascii="Times New Roman" w:hAnsi="Times New Roman" w:cs="Times New Roman" w:hint="default"/>
        <w:b w:val="0"/>
        <w:sz w:val="22"/>
        <w:szCs w:val="22"/>
      </w:rPr>
    </w:lvl>
    <w:lvl w:ilvl="4">
      <w:start w:val="1"/>
      <w:numFmt w:val="upperLetter"/>
      <w:pStyle w:val="Level5Legal"/>
      <w:lvlText w:val="(%5)"/>
      <w:lvlJc w:val="left"/>
      <w:pPr>
        <w:tabs>
          <w:tab w:val="num" w:pos="2880"/>
        </w:tabs>
        <w:ind w:left="2880" w:hanging="720"/>
      </w:pPr>
      <w:rPr>
        <w:b w:val="0"/>
        <w:sz w:val="23"/>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0B5589"/>
    <w:multiLevelType w:val="hybridMultilevel"/>
    <w:tmpl w:val="446683D6"/>
    <w:lvl w:ilvl="0" w:tplc="C8F6228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9D2783"/>
    <w:multiLevelType w:val="hybridMultilevel"/>
    <w:tmpl w:val="9C40CFBE"/>
    <w:lvl w:ilvl="0" w:tplc="F36E43F6">
      <w:start w:val="2016"/>
      <w:numFmt w:val="bullet"/>
      <w:lvlText w:val="-"/>
      <w:lvlJc w:val="left"/>
      <w:pPr>
        <w:ind w:left="1287" w:hanging="360"/>
      </w:pPr>
      <w:rPr>
        <w:rFonts w:ascii="Calibri" w:eastAsia="Times New Roman" w:hAnsi="Calibri" w:cs="Helvetica"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nsid w:val="58144413"/>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702"/>
        </w:tabs>
        <w:ind w:left="1702"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24">
    <w:nsid w:val="59A67FBB"/>
    <w:multiLevelType w:val="hybridMultilevel"/>
    <w:tmpl w:val="78E0BD82"/>
    <w:lvl w:ilvl="0" w:tplc="40E4B4B0">
      <w:start w:val="1"/>
      <w:numFmt w:val="lowerLetter"/>
      <w:lvlText w:val="(%1)"/>
      <w:lvlJc w:val="left"/>
      <w:pPr>
        <w:ind w:left="1964" w:hanging="360"/>
      </w:pPr>
      <w:rPr>
        <w:rFonts w:hint="default"/>
      </w:rPr>
    </w:lvl>
    <w:lvl w:ilvl="1" w:tplc="0C090019" w:tentative="1">
      <w:start w:val="1"/>
      <w:numFmt w:val="lowerLetter"/>
      <w:lvlText w:val="%2."/>
      <w:lvlJc w:val="left"/>
      <w:pPr>
        <w:ind w:left="2684" w:hanging="360"/>
      </w:pPr>
    </w:lvl>
    <w:lvl w:ilvl="2" w:tplc="0C09001B" w:tentative="1">
      <w:start w:val="1"/>
      <w:numFmt w:val="lowerRoman"/>
      <w:lvlText w:val="%3."/>
      <w:lvlJc w:val="right"/>
      <w:pPr>
        <w:ind w:left="3404" w:hanging="180"/>
      </w:pPr>
    </w:lvl>
    <w:lvl w:ilvl="3" w:tplc="0C09000F" w:tentative="1">
      <w:start w:val="1"/>
      <w:numFmt w:val="decimal"/>
      <w:lvlText w:val="%4."/>
      <w:lvlJc w:val="left"/>
      <w:pPr>
        <w:ind w:left="4124" w:hanging="360"/>
      </w:pPr>
    </w:lvl>
    <w:lvl w:ilvl="4" w:tplc="0C090019" w:tentative="1">
      <w:start w:val="1"/>
      <w:numFmt w:val="lowerLetter"/>
      <w:lvlText w:val="%5."/>
      <w:lvlJc w:val="left"/>
      <w:pPr>
        <w:ind w:left="4844" w:hanging="360"/>
      </w:pPr>
    </w:lvl>
    <w:lvl w:ilvl="5" w:tplc="0C09001B" w:tentative="1">
      <w:start w:val="1"/>
      <w:numFmt w:val="lowerRoman"/>
      <w:lvlText w:val="%6."/>
      <w:lvlJc w:val="right"/>
      <w:pPr>
        <w:ind w:left="5564" w:hanging="180"/>
      </w:pPr>
    </w:lvl>
    <w:lvl w:ilvl="6" w:tplc="0C09000F" w:tentative="1">
      <w:start w:val="1"/>
      <w:numFmt w:val="decimal"/>
      <w:lvlText w:val="%7."/>
      <w:lvlJc w:val="left"/>
      <w:pPr>
        <w:ind w:left="6284" w:hanging="360"/>
      </w:pPr>
    </w:lvl>
    <w:lvl w:ilvl="7" w:tplc="0C090019" w:tentative="1">
      <w:start w:val="1"/>
      <w:numFmt w:val="lowerLetter"/>
      <w:lvlText w:val="%8."/>
      <w:lvlJc w:val="left"/>
      <w:pPr>
        <w:ind w:left="7004" w:hanging="360"/>
      </w:pPr>
    </w:lvl>
    <w:lvl w:ilvl="8" w:tplc="0C09001B" w:tentative="1">
      <w:start w:val="1"/>
      <w:numFmt w:val="lowerRoman"/>
      <w:lvlText w:val="%9."/>
      <w:lvlJc w:val="right"/>
      <w:pPr>
        <w:ind w:left="7724" w:hanging="180"/>
      </w:pPr>
    </w:lvl>
  </w:abstractNum>
  <w:abstractNum w:abstractNumId="25">
    <w:nsid w:val="607D72A3"/>
    <w:multiLevelType w:val="hybridMultilevel"/>
    <w:tmpl w:val="D0BAF088"/>
    <w:lvl w:ilvl="0" w:tplc="40E4B4B0">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6">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B70237"/>
    <w:multiLevelType w:val="hybridMultilevel"/>
    <w:tmpl w:val="3B081D1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3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8"/>
  </w:num>
  <w:num w:numId="5">
    <w:abstractNumId w:val="28"/>
  </w:num>
  <w:num w:numId="6">
    <w:abstractNumId w:val="30"/>
  </w:num>
  <w:num w:numId="7">
    <w:abstractNumId w:val="2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0"/>
  </w:num>
  <w:num w:numId="19">
    <w:abstractNumId w:val="0"/>
  </w:num>
  <w:num w:numId="20">
    <w:abstractNumId w:val="19"/>
  </w:num>
  <w:num w:numId="21">
    <w:abstractNumId w:val="20"/>
  </w:num>
  <w:num w:numId="22">
    <w:abstractNumId w:val="16"/>
  </w:num>
  <w:num w:numId="23">
    <w:abstractNumId w:val="27"/>
  </w:num>
  <w:num w:numId="24">
    <w:abstractNumId w:val="17"/>
  </w:num>
  <w:num w:numId="25">
    <w:abstractNumId w:val="23"/>
  </w:num>
  <w:num w:numId="26">
    <w:abstractNumId w:val="12"/>
  </w:num>
  <w:num w:numId="27">
    <w:abstractNumId w:val="24"/>
  </w:num>
  <w:num w:numId="28">
    <w:abstractNumId w:val="25"/>
  </w:num>
  <w:num w:numId="29">
    <w:abstractNumId w:val="29"/>
  </w:num>
  <w:num w:numId="30">
    <w:abstractNumId w:val="22"/>
  </w:num>
  <w:num w:numId="31">
    <w:abstractNumId w:val="22"/>
  </w:num>
  <w:num w:numId="32">
    <w:abstractNumId w:val="1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330C"/>
    <w:rsid w:val="00004E74"/>
    <w:rsid w:val="00010D6D"/>
    <w:rsid w:val="00036D1F"/>
    <w:rsid w:val="00041DC7"/>
    <w:rsid w:val="00052C0E"/>
    <w:rsid w:val="00056E36"/>
    <w:rsid w:val="00073FB4"/>
    <w:rsid w:val="000872A8"/>
    <w:rsid w:val="000A6119"/>
    <w:rsid w:val="000C4981"/>
    <w:rsid w:val="000C708F"/>
    <w:rsid w:val="000D1791"/>
    <w:rsid w:val="00100EDF"/>
    <w:rsid w:val="00105BA7"/>
    <w:rsid w:val="00117AD2"/>
    <w:rsid w:val="00123C0D"/>
    <w:rsid w:val="00135571"/>
    <w:rsid w:val="00151905"/>
    <w:rsid w:val="00164CDE"/>
    <w:rsid w:val="00171A57"/>
    <w:rsid w:val="00185CA9"/>
    <w:rsid w:val="00192CF5"/>
    <w:rsid w:val="001A38D2"/>
    <w:rsid w:val="001B6841"/>
    <w:rsid w:val="001C0470"/>
    <w:rsid w:val="001C1CB9"/>
    <w:rsid w:val="001C612D"/>
    <w:rsid w:val="001D5264"/>
    <w:rsid w:val="001D71E7"/>
    <w:rsid w:val="002045FA"/>
    <w:rsid w:val="00205F75"/>
    <w:rsid w:val="0021311A"/>
    <w:rsid w:val="00223D7B"/>
    <w:rsid w:val="00227A2F"/>
    <w:rsid w:val="00233471"/>
    <w:rsid w:val="00243BC6"/>
    <w:rsid w:val="00261BF0"/>
    <w:rsid w:val="00274A34"/>
    <w:rsid w:val="00280DDE"/>
    <w:rsid w:val="002914D4"/>
    <w:rsid w:val="00293ABC"/>
    <w:rsid w:val="002A6EE1"/>
    <w:rsid w:val="002C49D7"/>
    <w:rsid w:val="002C63D9"/>
    <w:rsid w:val="002F151E"/>
    <w:rsid w:val="0030083D"/>
    <w:rsid w:val="00301DCF"/>
    <w:rsid w:val="00306FDA"/>
    <w:rsid w:val="0031142C"/>
    <w:rsid w:val="00311639"/>
    <w:rsid w:val="00316747"/>
    <w:rsid w:val="00316D24"/>
    <w:rsid w:val="00352590"/>
    <w:rsid w:val="00376693"/>
    <w:rsid w:val="00376C22"/>
    <w:rsid w:val="0038206A"/>
    <w:rsid w:val="003A44C5"/>
    <w:rsid w:val="003A56D6"/>
    <w:rsid w:val="003A58A3"/>
    <w:rsid w:val="003B5606"/>
    <w:rsid w:val="003C029B"/>
    <w:rsid w:val="003C48E9"/>
    <w:rsid w:val="003C56C9"/>
    <w:rsid w:val="003C7AED"/>
    <w:rsid w:val="003E604B"/>
    <w:rsid w:val="004047D0"/>
    <w:rsid w:val="00405C84"/>
    <w:rsid w:val="00421CA9"/>
    <w:rsid w:val="00423096"/>
    <w:rsid w:val="00427F62"/>
    <w:rsid w:val="00437E27"/>
    <w:rsid w:val="00442D6A"/>
    <w:rsid w:val="00451C19"/>
    <w:rsid w:val="004528CD"/>
    <w:rsid w:val="00457276"/>
    <w:rsid w:val="00475405"/>
    <w:rsid w:val="00477D7B"/>
    <w:rsid w:val="004A71BD"/>
    <w:rsid w:val="004B27AD"/>
    <w:rsid w:val="004B2C82"/>
    <w:rsid w:val="004B40C3"/>
    <w:rsid w:val="004C6119"/>
    <w:rsid w:val="004E59A6"/>
    <w:rsid w:val="004F357C"/>
    <w:rsid w:val="00505603"/>
    <w:rsid w:val="00505CF3"/>
    <w:rsid w:val="005541D8"/>
    <w:rsid w:val="00563A66"/>
    <w:rsid w:val="00575480"/>
    <w:rsid w:val="00581D74"/>
    <w:rsid w:val="005879AF"/>
    <w:rsid w:val="005A59BE"/>
    <w:rsid w:val="005C6819"/>
    <w:rsid w:val="005C6CB1"/>
    <w:rsid w:val="005D21B1"/>
    <w:rsid w:val="005E7304"/>
    <w:rsid w:val="005F0ACC"/>
    <w:rsid w:val="005F7BBA"/>
    <w:rsid w:val="0060482F"/>
    <w:rsid w:val="00606D7E"/>
    <w:rsid w:val="0061439C"/>
    <w:rsid w:val="00617870"/>
    <w:rsid w:val="006238C7"/>
    <w:rsid w:val="00631E45"/>
    <w:rsid w:val="006377FF"/>
    <w:rsid w:val="00666566"/>
    <w:rsid w:val="00674C43"/>
    <w:rsid w:val="006753DE"/>
    <w:rsid w:val="00690C0B"/>
    <w:rsid w:val="00697964"/>
    <w:rsid w:val="006A387F"/>
    <w:rsid w:val="006B666F"/>
    <w:rsid w:val="006C5B4A"/>
    <w:rsid w:val="006C6AF3"/>
    <w:rsid w:val="006D0E0F"/>
    <w:rsid w:val="006F4B69"/>
    <w:rsid w:val="006F4D33"/>
    <w:rsid w:val="00702D3B"/>
    <w:rsid w:val="00706F8F"/>
    <w:rsid w:val="00707C36"/>
    <w:rsid w:val="00722CB4"/>
    <w:rsid w:val="00727D33"/>
    <w:rsid w:val="007313AE"/>
    <w:rsid w:val="00743091"/>
    <w:rsid w:val="007443D4"/>
    <w:rsid w:val="0075509E"/>
    <w:rsid w:val="0075635F"/>
    <w:rsid w:val="00772786"/>
    <w:rsid w:val="007760E1"/>
    <w:rsid w:val="00782C31"/>
    <w:rsid w:val="00783DC8"/>
    <w:rsid w:val="007A4C9E"/>
    <w:rsid w:val="007B6046"/>
    <w:rsid w:val="007D1963"/>
    <w:rsid w:val="007D3BC0"/>
    <w:rsid w:val="007D61F4"/>
    <w:rsid w:val="007F4E20"/>
    <w:rsid w:val="00803292"/>
    <w:rsid w:val="00844130"/>
    <w:rsid w:val="00845F79"/>
    <w:rsid w:val="00851480"/>
    <w:rsid w:val="008602CE"/>
    <w:rsid w:val="00875702"/>
    <w:rsid w:val="008778DF"/>
    <w:rsid w:val="008815C3"/>
    <w:rsid w:val="00893557"/>
    <w:rsid w:val="008A4DF4"/>
    <w:rsid w:val="008A6577"/>
    <w:rsid w:val="008B3BE6"/>
    <w:rsid w:val="008C5D70"/>
    <w:rsid w:val="008C7810"/>
    <w:rsid w:val="008D5321"/>
    <w:rsid w:val="008F42A2"/>
    <w:rsid w:val="008F5352"/>
    <w:rsid w:val="008F76CC"/>
    <w:rsid w:val="0091062C"/>
    <w:rsid w:val="00914E38"/>
    <w:rsid w:val="00917289"/>
    <w:rsid w:val="009368EE"/>
    <w:rsid w:val="00942D09"/>
    <w:rsid w:val="00945371"/>
    <w:rsid w:val="0095226B"/>
    <w:rsid w:val="009542C6"/>
    <w:rsid w:val="009556B0"/>
    <w:rsid w:val="00974DCD"/>
    <w:rsid w:val="00977A67"/>
    <w:rsid w:val="00984C27"/>
    <w:rsid w:val="00990076"/>
    <w:rsid w:val="009B2746"/>
    <w:rsid w:val="009C5054"/>
    <w:rsid w:val="009D5DDE"/>
    <w:rsid w:val="009E0BEE"/>
    <w:rsid w:val="009E6DA2"/>
    <w:rsid w:val="009F19E6"/>
    <w:rsid w:val="00A07C59"/>
    <w:rsid w:val="00A15DD9"/>
    <w:rsid w:val="00A37CC5"/>
    <w:rsid w:val="00A43DFD"/>
    <w:rsid w:val="00A55D34"/>
    <w:rsid w:val="00A563EC"/>
    <w:rsid w:val="00A600AF"/>
    <w:rsid w:val="00A70004"/>
    <w:rsid w:val="00A77F50"/>
    <w:rsid w:val="00A87435"/>
    <w:rsid w:val="00A94CC2"/>
    <w:rsid w:val="00AB3BC0"/>
    <w:rsid w:val="00AB3F67"/>
    <w:rsid w:val="00AE05A9"/>
    <w:rsid w:val="00AE4490"/>
    <w:rsid w:val="00B030DC"/>
    <w:rsid w:val="00B12EFD"/>
    <w:rsid w:val="00B16C6E"/>
    <w:rsid w:val="00B16F94"/>
    <w:rsid w:val="00B27E90"/>
    <w:rsid w:val="00B3179A"/>
    <w:rsid w:val="00B41811"/>
    <w:rsid w:val="00B5028B"/>
    <w:rsid w:val="00B55D37"/>
    <w:rsid w:val="00B569FB"/>
    <w:rsid w:val="00B80BC0"/>
    <w:rsid w:val="00B83E6A"/>
    <w:rsid w:val="00B90C49"/>
    <w:rsid w:val="00B95F70"/>
    <w:rsid w:val="00BB0BD9"/>
    <w:rsid w:val="00BC77A3"/>
    <w:rsid w:val="00BD128B"/>
    <w:rsid w:val="00BD2196"/>
    <w:rsid w:val="00BE1257"/>
    <w:rsid w:val="00BE2B4C"/>
    <w:rsid w:val="00BF72A1"/>
    <w:rsid w:val="00BF7993"/>
    <w:rsid w:val="00C27BD7"/>
    <w:rsid w:val="00C31C4E"/>
    <w:rsid w:val="00C5040C"/>
    <w:rsid w:val="00C625AF"/>
    <w:rsid w:val="00C6461E"/>
    <w:rsid w:val="00C65161"/>
    <w:rsid w:val="00C75F37"/>
    <w:rsid w:val="00C81A1E"/>
    <w:rsid w:val="00C90304"/>
    <w:rsid w:val="00C9290F"/>
    <w:rsid w:val="00C97A78"/>
    <w:rsid w:val="00CA11E2"/>
    <w:rsid w:val="00CB1ACE"/>
    <w:rsid w:val="00CB316D"/>
    <w:rsid w:val="00CC45A3"/>
    <w:rsid w:val="00CD08D1"/>
    <w:rsid w:val="00CD201E"/>
    <w:rsid w:val="00CD5592"/>
    <w:rsid w:val="00CE0021"/>
    <w:rsid w:val="00CE137A"/>
    <w:rsid w:val="00CE1CCC"/>
    <w:rsid w:val="00CE4611"/>
    <w:rsid w:val="00CF28D9"/>
    <w:rsid w:val="00CF7021"/>
    <w:rsid w:val="00D00836"/>
    <w:rsid w:val="00D14460"/>
    <w:rsid w:val="00D16DBD"/>
    <w:rsid w:val="00D53359"/>
    <w:rsid w:val="00D712ED"/>
    <w:rsid w:val="00D95BF8"/>
    <w:rsid w:val="00DA4463"/>
    <w:rsid w:val="00DA7B04"/>
    <w:rsid w:val="00DB259A"/>
    <w:rsid w:val="00DB6C17"/>
    <w:rsid w:val="00DB7A98"/>
    <w:rsid w:val="00DC6936"/>
    <w:rsid w:val="00DC6C78"/>
    <w:rsid w:val="00DD7657"/>
    <w:rsid w:val="00DE0F5F"/>
    <w:rsid w:val="00DF0E3C"/>
    <w:rsid w:val="00E139B7"/>
    <w:rsid w:val="00E152E4"/>
    <w:rsid w:val="00E15E10"/>
    <w:rsid w:val="00E209C5"/>
    <w:rsid w:val="00E3311F"/>
    <w:rsid w:val="00E42F6A"/>
    <w:rsid w:val="00E43A41"/>
    <w:rsid w:val="00E54CD1"/>
    <w:rsid w:val="00E6638F"/>
    <w:rsid w:val="00E675F3"/>
    <w:rsid w:val="00E829F7"/>
    <w:rsid w:val="00E85579"/>
    <w:rsid w:val="00E93737"/>
    <w:rsid w:val="00EA5DB4"/>
    <w:rsid w:val="00EB575C"/>
    <w:rsid w:val="00EC73C4"/>
    <w:rsid w:val="00EF151B"/>
    <w:rsid w:val="00F15E78"/>
    <w:rsid w:val="00F31812"/>
    <w:rsid w:val="00F3600A"/>
    <w:rsid w:val="00F37690"/>
    <w:rsid w:val="00F53332"/>
    <w:rsid w:val="00F629E7"/>
    <w:rsid w:val="00F64317"/>
    <w:rsid w:val="00F706DE"/>
    <w:rsid w:val="00F718A0"/>
    <w:rsid w:val="00F760F5"/>
    <w:rsid w:val="00F971C6"/>
    <w:rsid w:val="00FA43E8"/>
    <w:rsid w:val="00FB1701"/>
    <w:rsid w:val="00FB260E"/>
    <w:rsid w:val="00FE3A5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aliases w:val="h1,c"/>
    <w:basedOn w:val="Normal"/>
    <w:next w:val="Normal"/>
    <w:link w:val="Heading1Char"/>
    <w:qFormat/>
    <w:locked/>
    <w:rsid w:val="00690C0B"/>
    <w:pPr>
      <w:keepNext/>
      <w:keepLines/>
      <w:spacing w:before="480" w:after="0"/>
      <w:outlineLvl w:val="0"/>
    </w:pPr>
    <w:rPr>
      <w:rFonts w:eastAsiaTheme="majorEastAsia" w:cs="Arial"/>
      <w:b/>
      <w:bCs/>
      <w:sz w:val="40"/>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Level1Legal">
    <w:name w:val="Level 1 (Legal)"/>
    <w:basedOn w:val="Normal"/>
    <w:rsid w:val="001C1CB9"/>
    <w:pPr>
      <w:keepNext/>
      <w:numPr>
        <w:numId w:val="24"/>
      </w:numPr>
      <w:spacing w:before="240" w:after="240"/>
      <w:outlineLvl w:val="0"/>
    </w:pPr>
    <w:rPr>
      <w:rFonts w:ascii="Cambria" w:eastAsiaTheme="minorHAnsi" w:hAnsi="Cambria" w:cstheme="minorBidi"/>
      <w:b/>
    </w:rPr>
  </w:style>
  <w:style w:type="paragraph" w:customStyle="1" w:styleId="Level2Legal">
    <w:name w:val="Level 2 (Legal)"/>
    <w:basedOn w:val="Normal"/>
    <w:link w:val="Level2LegalChar"/>
    <w:rsid w:val="001C1CB9"/>
    <w:pPr>
      <w:numPr>
        <w:ilvl w:val="1"/>
        <w:numId w:val="24"/>
      </w:numPr>
      <w:spacing w:before="0" w:after="240"/>
      <w:outlineLvl w:val="1"/>
    </w:pPr>
    <w:rPr>
      <w:rFonts w:ascii="Cambria" w:eastAsiaTheme="minorHAnsi" w:hAnsi="Cambria" w:cstheme="minorBidi"/>
    </w:rPr>
  </w:style>
  <w:style w:type="character" w:customStyle="1" w:styleId="Level2LegalChar">
    <w:name w:val="Level 2 (Legal) Char"/>
    <w:basedOn w:val="DefaultParagraphFont"/>
    <w:link w:val="Level2Legal"/>
    <w:rsid w:val="001C1CB9"/>
    <w:rPr>
      <w:rFonts w:ascii="Cambria" w:eastAsiaTheme="minorHAnsi" w:hAnsi="Cambria" w:cstheme="minorBidi"/>
      <w:sz w:val="22"/>
    </w:rPr>
  </w:style>
  <w:style w:type="paragraph" w:customStyle="1" w:styleId="Level3Legal">
    <w:name w:val="Level 3 (Legal)"/>
    <w:basedOn w:val="Normal"/>
    <w:rsid w:val="001C1CB9"/>
    <w:pPr>
      <w:numPr>
        <w:ilvl w:val="2"/>
        <w:numId w:val="24"/>
      </w:numPr>
      <w:spacing w:before="0" w:after="240"/>
    </w:pPr>
    <w:rPr>
      <w:rFonts w:ascii="Cambria" w:eastAsiaTheme="minorHAnsi" w:hAnsi="Cambria" w:cstheme="minorBidi"/>
    </w:rPr>
  </w:style>
  <w:style w:type="paragraph" w:customStyle="1" w:styleId="Level4Legal">
    <w:name w:val="Level 4 (Legal)"/>
    <w:basedOn w:val="Normal"/>
    <w:rsid w:val="001C1CB9"/>
    <w:pPr>
      <w:numPr>
        <w:ilvl w:val="3"/>
        <w:numId w:val="24"/>
      </w:numPr>
      <w:spacing w:before="0" w:after="240"/>
    </w:pPr>
    <w:rPr>
      <w:rFonts w:ascii="Cambria" w:eastAsiaTheme="minorHAnsi" w:hAnsi="Cambria" w:cstheme="minorBidi"/>
    </w:rPr>
  </w:style>
  <w:style w:type="paragraph" w:customStyle="1" w:styleId="Level5Legal">
    <w:name w:val="Level 5 (Legal)"/>
    <w:basedOn w:val="Normal"/>
    <w:rsid w:val="001C1CB9"/>
    <w:pPr>
      <w:numPr>
        <w:ilvl w:val="4"/>
        <w:numId w:val="24"/>
      </w:numPr>
      <w:tabs>
        <w:tab w:val="clear" w:pos="2880"/>
      </w:tabs>
      <w:spacing w:before="0" w:after="240"/>
    </w:pPr>
    <w:rPr>
      <w:rFonts w:ascii="Cambria" w:eastAsiaTheme="minorHAnsi" w:hAnsi="Cambria" w:cstheme="minorBidi"/>
    </w:rPr>
  </w:style>
  <w:style w:type="paragraph" w:customStyle="1" w:styleId="Default">
    <w:name w:val="Default"/>
    <w:rsid w:val="009E6DA2"/>
    <w:pPr>
      <w:autoSpaceDE w:val="0"/>
      <w:autoSpaceDN w:val="0"/>
      <w:adjustRightInd w:val="0"/>
      <w:spacing w:before="0" w:after="0"/>
    </w:pPr>
    <w:rPr>
      <w:rFonts w:ascii="Times New Roman" w:hAnsi="Times New Roman" w:cs="Times New Roman"/>
      <w:color w:val="000000"/>
      <w:lang w:eastAsia="en-AU"/>
    </w:rPr>
  </w:style>
  <w:style w:type="paragraph" w:customStyle="1" w:styleId="tabletext">
    <w:name w:val="tabletext"/>
    <w:basedOn w:val="Normal"/>
    <w:rsid w:val="009E6DA2"/>
    <w:pPr>
      <w:spacing w:before="100" w:beforeAutospacing="1" w:after="100" w:afterAutospacing="1"/>
    </w:pPr>
    <w:rPr>
      <w:rFonts w:ascii="Times New Roman" w:hAnsi="Times New Roman"/>
      <w:sz w:val="24"/>
      <w:lang w:eastAsia="en-AU"/>
    </w:rPr>
  </w:style>
  <w:style w:type="paragraph" w:customStyle="1" w:styleId="Healthnumlevel2">
    <w:name w:val="Health (num) level 2"/>
    <w:basedOn w:val="Normal"/>
    <w:link w:val="Healthnumlevel2Char"/>
    <w:rsid w:val="008B3BE6"/>
    <w:pPr>
      <w:tabs>
        <w:tab w:val="num" w:pos="1702"/>
      </w:tabs>
      <w:autoSpaceDE w:val="0"/>
      <w:autoSpaceDN w:val="0"/>
      <w:spacing w:before="60" w:after="0"/>
      <w:ind w:left="1702" w:hanging="851"/>
    </w:pPr>
    <w:rPr>
      <w:rFonts w:ascii="Times New Roman" w:hAnsi="Times New Roman"/>
      <w:color w:val="000000"/>
      <w:sz w:val="24"/>
    </w:rPr>
  </w:style>
  <w:style w:type="paragraph" w:customStyle="1" w:styleId="HealthnumLevel3">
    <w:name w:val="Health (num) Level 3"/>
    <w:basedOn w:val="Normal"/>
    <w:rsid w:val="008B3BE6"/>
    <w:pPr>
      <w:tabs>
        <w:tab w:val="num" w:pos="2671"/>
      </w:tabs>
      <w:autoSpaceDE w:val="0"/>
      <w:autoSpaceDN w:val="0"/>
      <w:spacing w:before="60" w:after="0" w:line="260" w:lineRule="exact"/>
      <w:ind w:left="2671" w:hanging="850"/>
      <w:jc w:val="both"/>
    </w:pPr>
    <w:rPr>
      <w:rFonts w:ascii="Times New Roman" w:hAnsi="Times New Roman"/>
      <w:color w:val="000000"/>
      <w:sz w:val="24"/>
    </w:rPr>
  </w:style>
  <w:style w:type="paragraph" w:customStyle="1" w:styleId="HealthnumLevel4">
    <w:name w:val="Health (num) Level 4"/>
    <w:basedOn w:val="Normal"/>
    <w:rsid w:val="008B3BE6"/>
    <w:pPr>
      <w:tabs>
        <w:tab w:val="num" w:pos="3522"/>
      </w:tabs>
      <w:autoSpaceDE w:val="0"/>
      <w:autoSpaceDN w:val="0"/>
      <w:spacing w:before="60" w:after="0" w:line="260" w:lineRule="exact"/>
      <w:ind w:left="3522" w:hanging="851"/>
    </w:pPr>
    <w:rPr>
      <w:rFonts w:ascii="Times New Roman" w:hAnsi="Times New Roman"/>
      <w:sz w:val="24"/>
    </w:rPr>
  </w:style>
  <w:style w:type="paragraph" w:customStyle="1" w:styleId="HealthnumLevel5">
    <w:name w:val="Health (num) Level 5"/>
    <w:basedOn w:val="Normal"/>
    <w:rsid w:val="008B3BE6"/>
    <w:pPr>
      <w:tabs>
        <w:tab w:val="num" w:pos="360"/>
      </w:tabs>
      <w:autoSpaceDE w:val="0"/>
      <w:autoSpaceDN w:val="0"/>
      <w:spacing w:before="180" w:after="0" w:line="260" w:lineRule="exact"/>
    </w:pPr>
    <w:rPr>
      <w:rFonts w:ascii="Times New Roman" w:hAnsi="Times New Roman"/>
      <w:sz w:val="24"/>
    </w:rPr>
  </w:style>
  <w:style w:type="paragraph" w:customStyle="1" w:styleId="HealthnumLevel6">
    <w:name w:val="Health (num) Level 6"/>
    <w:basedOn w:val="Normal"/>
    <w:rsid w:val="008B3BE6"/>
    <w:pPr>
      <w:tabs>
        <w:tab w:val="num" w:pos="360"/>
      </w:tabs>
      <w:autoSpaceDE w:val="0"/>
      <w:autoSpaceDN w:val="0"/>
      <w:spacing w:before="180" w:after="0" w:line="260" w:lineRule="exact"/>
    </w:pPr>
    <w:rPr>
      <w:rFonts w:ascii="Times New Roman" w:hAnsi="Times New Roman"/>
      <w:sz w:val="24"/>
    </w:rPr>
  </w:style>
  <w:style w:type="character" w:customStyle="1" w:styleId="Healthnumlevel2Char">
    <w:name w:val="Health (num) level 2 Char"/>
    <w:link w:val="Healthnumlevel2"/>
    <w:rsid w:val="008B3BE6"/>
    <w:rPr>
      <w:rFonts w:ascii="Times New Roman" w:hAnsi="Times New Roman" w:cs="Times New Roman"/>
      <w:color w:val="000000"/>
    </w:rPr>
  </w:style>
  <w:style w:type="paragraph" w:customStyle="1" w:styleId="Itemdiscussion">
    <w:name w:val="Item discussion"/>
    <w:basedOn w:val="Normal"/>
    <w:link w:val="ItemdiscussionChar"/>
    <w:qFormat/>
    <w:rsid w:val="00CD201E"/>
    <w:pPr>
      <w:spacing w:before="0" w:after="0"/>
      <w:ind w:left="567"/>
    </w:pPr>
    <w:rPr>
      <w:sz w:val="24"/>
    </w:rPr>
  </w:style>
  <w:style w:type="character" w:customStyle="1" w:styleId="ItemdiscussionChar">
    <w:name w:val="Item discussion Char"/>
    <w:basedOn w:val="DefaultParagraphFont"/>
    <w:link w:val="Itemdiscussion"/>
    <w:rsid w:val="00CD201E"/>
    <w:rPr>
      <w:rFonts w:cs="Times New Roman"/>
    </w:rPr>
  </w:style>
  <w:style w:type="paragraph" w:customStyle="1" w:styleId="Char1">
    <w:name w:val="Char1"/>
    <w:basedOn w:val="Normal"/>
    <w:rsid w:val="00306FDA"/>
    <w:pPr>
      <w:spacing w:before="0" w:after="0"/>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aliases w:val="h1,c"/>
    <w:basedOn w:val="Normal"/>
    <w:next w:val="Normal"/>
    <w:link w:val="Heading1Char"/>
    <w:qFormat/>
    <w:locked/>
    <w:rsid w:val="00690C0B"/>
    <w:pPr>
      <w:keepNext/>
      <w:keepLines/>
      <w:spacing w:before="480" w:after="0"/>
      <w:outlineLvl w:val="0"/>
    </w:pPr>
    <w:rPr>
      <w:rFonts w:eastAsiaTheme="majorEastAsia" w:cs="Arial"/>
      <w:b/>
      <w:bCs/>
      <w:sz w:val="40"/>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Level1Legal">
    <w:name w:val="Level 1 (Legal)"/>
    <w:basedOn w:val="Normal"/>
    <w:rsid w:val="001C1CB9"/>
    <w:pPr>
      <w:keepNext/>
      <w:numPr>
        <w:numId w:val="24"/>
      </w:numPr>
      <w:spacing w:before="240" w:after="240"/>
      <w:outlineLvl w:val="0"/>
    </w:pPr>
    <w:rPr>
      <w:rFonts w:ascii="Cambria" w:eastAsiaTheme="minorHAnsi" w:hAnsi="Cambria" w:cstheme="minorBidi"/>
      <w:b/>
    </w:rPr>
  </w:style>
  <w:style w:type="paragraph" w:customStyle="1" w:styleId="Level2Legal">
    <w:name w:val="Level 2 (Legal)"/>
    <w:basedOn w:val="Normal"/>
    <w:link w:val="Level2LegalChar"/>
    <w:rsid w:val="001C1CB9"/>
    <w:pPr>
      <w:numPr>
        <w:ilvl w:val="1"/>
        <w:numId w:val="24"/>
      </w:numPr>
      <w:spacing w:before="0" w:after="240"/>
      <w:outlineLvl w:val="1"/>
    </w:pPr>
    <w:rPr>
      <w:rFonts w:ascii="Cambria" w:eastAsiaTheme="minorHAnsi" w:hAnsi="Cambria" w:cstheme="minorBidi"/>
    </w:rPr>
  </w:style>
  <w:style w:type="character" w:customStyle="1" w:styleId="Level2LegalChar">
    <w:name w:val="Level 2 (Legal) Char"/>
    <w:basedOn w:val="DefaultParagraphFont"/>
    <w:link w:val="Level2Legal"/>
    <w:rsid w:val="001C1CB9"/>
    <w:rPr>
      <w:rFonts w:ascii="Cambria" w:eastAsiaTheme="minorHAnsi" w:hAnsi="Cambria" w:cstheme="minorBidi"/>
      <w:sz w:val="22"/>
    </w:rPr>
  </w:style>
  <w:style w:type="paragraph" w:customStyle="1" w:styleId="Level3Legal">
    <w:name w:val="Level 3 (Legal)"/>
    <w:basedOn w:val="Normal"/>
    <w:rsid w:val="001C1CB9"/>
    <w:pPr>
      <w:numPr>
        <w:ilvl w:val="2"/>
        <w:numId w:val="24"/>
      </w:numPr>
      <w:spacing w:before="0" w:after="240"/>
    </w:pPr>
    <w:rPr>
      <w:rFonts w:ascii="Cambria" w:eastAsiaTheme="minorHAnsi" w:hAnsi="Cambria" w:cstheme="minorBidi"/>
    </w:rPr>
  </w:style>
  <w:style w:type="paragraph" w:customStyle="1" w:styleId="Level4Legal">
    <w:name w:val="Level 4 (Legal)"/>
    <w:basedOn w:val="Normal"/>
    <w:rsid w:val="001C1CB9"/>
    <w:pPr>
      <w:numPr>
        <w:ilvl w:val="3"/>
        <w:numId w:val="24"/>
      </w:numPr>
      <w:spacing w:before="0" w:after="240"/>
    </w:pPr>
    <w:rPr>
      <w:rFonts w:ascii="Cambria" w:eastAsiaTheme="minorHAnsi" w:hAnsi="Cambria" w:cstheme="minorBidi"/>
    </w:rPr>
  </w:style>
  <w:style w:type="paragraph" w:customStyle="1" w:styleId="Level5Legal">
    <w:name w:val="Level 5 (Legal)"/>
    <w:basedOn w:val="Normal"/>
    <w:rsid w:val="001C1CB9"/>
    <w:pPr>
      <w:numPr>
        <w:ilvl w:val="4"/>
        <w:numId w:val="24"/>
      </w:numPr>
      <w:tabs>
        <w:tab w:val="clear" w:pos="2880"/>
      </w:tabs>
      <w:spacing w:before="0" w:after="240"/>
    </w:pPr>
    <w:rPr>
      <w:rFonts w:ascii="Cambria" w:eastAsiaTheme="minorHAnsi" w:hAnsi="Cambria" w:cstheme="minorBidi"/>
    </w:rPr>
  </w:style>
  <w:style w:type="paragraph" w:customStyle="1" w:styleId="Default">
    <w:name w:val="Default"/>
    <w:rsid w:val="009E6DA2"/>
    <w:pPr>
      <w:autoSpaceDE w:val="0"/>
      <w:autoSpaceDN w:val="0"/>
      <w:adjustRightInd w:val="0"/>
      <w:spacing w:before="0" w:after="0"/>
    </w:pPr>
    <w:rPr>
      <w:rFonts w:ascii="Times New Roman" w:hAnsi="Times New Roman" w:cs="Times New Roman"/>
      <w:color w:val="000000"/>
      <w:lang w:eastAsia="en-AU"/>
    </w:rPr>
  </w:style>
  <w:style w:type="paragraph" w:customStyle="1" w:styleId="tabletext">
    <w:name w:val="tabletext"/>
    <w:basedOn w:val="Normal"/>
    <w:rsid w:val="009E6DA2"/>
    <w:pPr>
      <w:spacing w:before="100" w:beforeAutospacing="1" w:after="100" w:afterAutospacing="1"/>
    </w:pPr>
    <w:rPr>
      <w:rFonts w:ascii="Times New Roman" w:hAnsi="Times New Roman"/>
      <w:sz w:val="24"/>
      <w:lang w:eastAsia="en-AU"/>
    </w:rPr>
  </w:style>
  <w:style w:type="paragraph" w:customStyle="1" w:styleId="Healthnumlevel2">
    <w:name w:val="Health (num) level 2"/>
    <w:basedOn w:val="Normal"/>
    <w:link w:val="Healthnumlevel2Char"/>
    <w:rsid w:val="008B3BE6"/>
    <w:pPr>
      <w:tabs>
        <w:tab w:val="num" w:pos="1702"/>
      </w:tabs>
      <w:autoSpaceDE w:val="0"/>
      <w:autoSpaceDN w:val="0"/>
      <w:spacing w:before="60" w:after="0"/>
      <w:ind w:left="1702" w:hanging="851"/>
    </w:pPr>
    <w:rPr>
      <w:rFonts w:ascii="Times New Roman" w:hAnsi="Times New Roman"/>
      <w:color w:val="000000"/>
      <w:sz w:val="24"/>
    </w:rPr>
  </w:style>
  <w:style w:type="paragraph" w:customStyle="1" w:styleId="HealthnumLevel3">
    <w:name w:val="Health (num) Level 3"/>
    <w:basedOn w:val="Normal"/>
    <w:rsid w:val="008B3BE6"/>
    <w:pPr>
      <w:tabs>
        <w:tab w:val="num" w:pos="2671"/>
      </w:tabs>
      <w:autoSpaceDE w:val="0"/>
      <w:autoSpaceDN w:val="0"/>
      <w:spacing w:before="60" w:after="0" w:line="260" w:lineRule="exact"/>
      <w:ind w:left="2671" w:hanging="850"/>
      <w:jc w:val="both"/>
    </w:pPr>
    <w:rPr>
      <w:rFonts w:ascii="Times New Roman" w:hAnsi="Times New Roman"/>
      <w:color w:val="000000"/>
      <w:sz w:val="24"/>
    </w:rPr>
  </w:style>
  <w:style w:type="paragraph" w:customStyle="1" w:styleId="HealthnumLevel4">
    <w:name w:val="Health (num) Level 4"/>
    <w:basedOn w:val="Normal"/>
    <w:rsid w:val="008B3BE6"/>
    <w:pPr>
      <w:tabs>
        <w:tab w:val="num" w:pos="3522"/>
      </w:tabs>
      <w:autoSpaceDE w:val="0"/>
      <w:autoSpaceDN w:val="0"/>
      <w:spacing w:before="60" w:after="0" w:line="260" w:lineRule="exact"/>
      <w:ind w:left="3522" w:hanging="851"/>
    </w:pPr>
    <w:rPr>
      <w:rFonts w:ascii="Times New Roman" w:hAnsi="Times New Roman"/>
      <w:sz w:val="24"/>
    </w:rPr>
  </w:style>
  <w:style w:type="paragraph" w:customStyle="1" w:styleId="HealthnumLevel5">
    <w:name w:val="Health (num) Level 5"/>
    <w:basedOn w:val="Normal"/>
    <w:rsid w:val="008B3BE6"/>
    <w:pPr>
      <w:tabs>
        <w:tab w:val="num" w:pos="360"/>
      </w:tabs>
      <w:autoSpaceDE w:val="0"/>
      <w:autoSpaceDN w:val="0"/>
      <w:spacing w:before="180" w:after="0" w:line="260" w:lineRule="exact"/>
    </w:pPr>
    <w:rPr>
      <w:rFonts w:ascii="Times New Roman" w:hAnsi="Times New Roman"/>
      <w:sz w:val="24"/>
    </w:rPr>
  </w:style>
  <w:style w:type="paragraph" w:customStyle="1" w:styleId="HealthnumLevel6">
    <w:name w:val="Health (num) Level 6"/>
    <w:basedOn w:val="Normal"/>
    <w:rsid w:val="008B3BE6"/>
    <w:pPr>
      <w:tabs>
        <w:tab w:val="num" w:pos="360"/>
      </w:tabs>
      <w:autoSpaceDE w:val="0"/>
      <w:autoSpaceDN w:val="0"/>
      <w:spacing w:before="180" w:after="0" w:line="260" w:lineRule="exact"/>
    </w:pPr>
    <w:rPr>
      <w:rFonts w:ascii="Times New Roman" w:hAnsi="Times New Roman"/>
      <w:sz w:val="24"/>
    </w:rPr>
  </w:style>
  <w:style w:type="character" w:customStyle="1" w:styleId="Healthnumlevel2Char">
    <w:name w:val="Health (num) level 2 Char"/>
    <w:link w:val="Healthnumlevel2"/>
    <w:rsid w:val="008B3BE6"/>
    <w:rPr>
      <w:rFonts w:ascii="Times New Roman" w:hAnsi="Times New Roman" w:cs="Times New Roman"/>
      <w:color w:val="000000"/>
    </w:rPr>
  </w:style>
  <w:style w:type="paragraph" w:customStyle="1" w:styleId="Itemdiscussion">
    <w:name w:val="Item discussion"/>
    <w:basedOn w:val="Normal"/>
    <w:link w:val="ItemdiscussionChar"/>
    <w:qFormat/>
    <w:rsid w:val="00CD201E"/>
    <w:pPr>
      <w:spacing w:before="0" w:after="0"/>
      <w:ind w:left="567"/>
    </w:pPr>
    <w:rPr>
      <w:sz w:val="24"/>
    </w:rPr>
  </w:style>
  <w:style w:type="character" w:customStyle="1" w:styleId="ItemdiscussionChar">
    <w:name w:val="Item discussion Char"/>
    <w:basedOn w:val="DefaultParagraphFont"/>
    <w:link w:val="Itemdiscussion"/>
    <w:rsid w:val="00CD201E"/>
    <w:rPr>
      <w:rFonts w:cs="Times New Roman"/>
    </w:rPr>
  </w:style>
  <w:style w:type="paragraph" w:customStyle="1" w:styleId="Char1">
    <w:name w:val="Char1"/>
    <w:basedOn w:val="Normal"/>
    <w:rsid w:val="00306FDA"/>
    <w:pPr>
      <w:spacing w:before="0" w:after="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1287">
      <w:bodyDiv w:val="1"/>
      <w:marLeft w:val="0"/>
      <w:marRight w:val="0"/>
      <w:marTop w:val="0"/>
      <w:marBottom w:val="0"/>
      <w:divBdr>
        <w:top w:val="none" w:sz="0" w:space="0" w:color="auto"/>
        <w:left w:val="none" w:sz="0" w:space="0" w:color="auto"/>
        <w:bottom w:val="none" w:sz="0" w:space="0" w:color="auto"/>
        <w:right w:val="none" w:sz="0" w:space="0" w:color="auto"/>
      </w:divBdr>
    </w:div>
    <w:div w:id="13905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vi.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vi.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vi.org.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B2FE8D-83CA-4A32-AB86-B54D59B8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11107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2017-10-24T06:27:00Z</cp:lastPrinted>
  <dcterms:created xsi:type="dcterms:W3CDTF">2017-10-26T05:04:00Z</dcterms:created>
  <dcterms:modified xsi:type="dcterms:W3CDTF">2017-10-26T05:04:00Z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