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FB195A" w:rsidP="00743091">
      <w:pPr>
        <w:pStyle w:val="Heading1"/>
      </w:pPr>
      <w:bookmarkStart w:id="0" w:name="_Ref394501517"/>
      <w:r>
        <w:t>Changes to Ear, Nose and Throat Items 41674, 41789, 41793 and 41801</w:t>
      </w:r>
      <w:bookmarkEnd w:id="0"/>
    </w:p>
    <w:p w:rsidR="006D0E0F" w:rsidRDefault="00B16F94" w:rsidP="00743091">
      <w:pPr>
        <w:pStyle w:val="Footnote"/>
      </w:pPr>
      <w:r w:rsidRPr="00990076">
        <w:t xml:space="preserve">Last updated: </w:t>
      </w:r>
      <w:r w:rsidR="00697964">
        <w:t>2</w:t>
      </w:r>
      <w:r w:rsidR="00BA5A3A">
        <w:t>3</w:t>
      </w:r>
      <w:r w:rsidR="00697964">
        <w:t>/</w:t>
      </w:r>
      <w:r w:rsidR="00BA5A3A">
        <w:t>10</w:t>
      </w:r>
      <w:r w:rsidR="00697964">
        <w:t>/2017</w:t>
      </w:r>
    </w:p>
    <w:p w:rsidR="00F821FD" w:rsidRDefault="00F821FD" w:rsidP="00F821FD">
      <w:pPr>
        <w:rPr>
          <w:rStyle w:val="Emphasis"/>
        </w:rPr>
      </w:pPr>
      <w:r>
        <w:rPr>
          <w:rStyle w:val="Emphasis"/>
        </w:rPr>
        <w:t>Effective 1 Novem</w:t>
      </w:r>
      <w:r w:rsidR="00D0542E">
        <w:rPr>
          <w:rStyle w:val="Emphasis"/>
        </w:rPr>
        <w:t>b</w:t>
      </w:r>
      <w:r w:rsidR="00BA5A3A">
        <w:rPr>
          <w:rStyle w:val="Emphasis"/>
        </w:rPr>
        <w:t>er 2017</w:t>
      </w:r>
      <w:bookmarkStart w:id="1" w:name="_GoBack"/>
      <w:bookmarkEnd w:id="1"/>
    </w:p>
    <w:p w:rsidR="00FB195A" w:rsidRPr="00FB195A" w:rsidRDefault="00FB195A" w:rsidP="00FB195A">
      <w:pPr>
        <w:pStyle w:val="Heading3"/>
      </w:pPr>
      <w:r>
        <w:t>What do the changes involve</w:t>
      </w:r>
      <w:r w:rsidRPr="00116387">
        <w:t>?</w:t>
      </w:r>
    </w:p>
    <w:p w:rsidR="00FB195A" w:rsidRPr="00FB195A" w:rsidRDefault="00FB195A" w:rsidP="00FB195A">
      <w:r w:rsidRPr="00FB195A">
        <w:t>The changes to Medicare Benefits Schedule items 41674, 41789, 41793 and 4180</w:t>
      </w:r>
      <w:r w:rsidR="000110CA">
        <w:t>1</w:t>
      </w:r>
      <w:r w:rsidRPr="00FB195A">
        <w:t xml:space="preserve"> for ear, nose and throat (ENT) surgery involve:</w:t>
      </w:r>
    </w:p>
    <w:p w:rsidR="00FB195A" w:rsidRPr="00FB195A" w:rsidRDefault="00FB195A" w:rsidP="00FB195A">
      <w:r w:rsidRPr="00FB195A">
        <w:t>Amendment to item 41674 to remove MBS coverage for cauterisation of the pharynx as this is no longer considered appropriate clinical practice.</w:t>
      </w:r>
    </w:p>
    <w:p w:rsidR="00FB195A" w:rsidRPr="00FB195A" w:rsidRDefault="00FB195A" w:rsidP="00FB195A">
      <w:r w:rsidRPr="00FB195A">
        <w:t>Amendment to the items for tonsillectomy (41789 and 41793) and adenoidectomy (item 41801) to clarify that the item covers the service of injection of local anaesthetic and examination of the post nasal space to prevent inappropriate billing.</w:t>
      </w:r>
    </w:p>
    <w:p w:rsidR="00FB195A" w:rsidRDefault="00FB195A" w:rsidP="00FB195A">
      <w:pPr>
        <w:pStyle w:val="Heading3"/>
      </w:pPr>
      <w:r w:rsidRPr="000F7598">
        <w:t xml:space="preserve">Why is the Government making this change? </w:t>
      </w:r>
    </w:p>
    <w:p w:rsidR="00FB195A" w:rsidRDefault="00FB195A" w:rsidP="00FB195A">
      <w:r w:rsidRPr="00FB195A">
        <w:t xml:space="preserve">The changes support the Government’s priority of ensuring that Medicare funded services are safe, clinically effective and cost effective.  They </w:t>
      </w:r>
      <w:r>
        <w:t xml:space="preserve">are based on recommendations of the Medicare Benefits Schedule Review Taskforce.  </w:t>
      </w:r>
    </w:p>
    <w:p w:rsidR="00254858" w:rsidRDefault="00254858" w:rsidP="00254858">
      <w:pPr>
        <w:pStyle w:val="Heading3"/>
      </w:pPr>
      <w:r>
        <w:t>What does this mean for MBS claiming?</w:t>
      </w:r>
    </w:p>
    <w:p w:rsidR="00254858" w:rsidRPr="00254858" w:rsidRDefault="00254858" w:rsidP="00254858">
      <w:r w:rsidRPr="00254858">
        <w:t xml:space="preserve">The changes to the ENT items will support safe clinical practice and prevent inappropriate billing. </w:t>
      </w:r>
    </w:p>
    <w:p w:rsidR="00FB195A" w:rsidRDefault="00254858" w:rsidP="00254858">
      <w:pPr>
        <w:pStyle w:val="Heading3"/>
      </w:pPr>
      <w:r>
        <w:t>Change to item descr</w:t>
      </w:r>
      <w:r w:rsidR="000110CA">
        <w:t>i</w:t>
      </w:r>
      <w:r>
        <w:t>ption: (words to be added in red, words to be deleted with strikethrough)</w:t>
      </w:r>
    </w:p>
    <w:p w:rsidR="0046785C" w:rsidRPr="00FB195A" w:rsidRDefault="0046785C" w:rsidP="00FB195A"/>
    <w:tbl>
      <w:tblPr>
        <w:tblStyle w:val="MBSOnlineTable"/>
        <w:tblW w:w="0" w:type="auto"/>
        <w:tblLook w:val="0180" w:firstRow="0" w:lastRow="0" w:firstColumn="1" w:lastColumn="1" w:noHBand="0" w:noVBand="0"/>
      </w:tblPr>
      <w:tblGrid>
        <w:gridCol w:w="912"/>
        <w:gridCol w:w="8222"/>
      </w:tblGrid>
      <w:tr w:rsidR="00FB195A" w:rsidRPr="001E7E68" w:rsidTr="00FB195A">
        <w:tc>
          <w:tcPr>
            <w:cnfStyle w:val="001000000000" w:firstRow="0" w:lastRow="0" w:firstColumn="1" w:lastColumn="0" w:oddVBand="0" w:evenVBand="0" w:oddHBand="0" w:evenHBand="0" w:firstRowFirstColumn="0" w:firstRowLastColumn="0" w:lastRowFirstColumn="0" w:lastRowLastColumn="0"/>
            <w:tcW w:w="912" w:type="dxa"/>
            <w:vAlign w:val="center"/>
          </w:tcPr>
          <w:p w:rsidR="00FB195A" w:rsidRPr="00FB195A" w:rsidRDefault="00FB195A" w:rsidP="00FB195A">
            <w:pPr>
              <w:pStyle w:val="TblLeft"/>
            </w:pPr>
            <w:r w:rsidRPr="00FB195A">
              <w:t>41674</w:t>
            </w:r>
          </w:p>
        </w:tc>
        <w:tc>
          <w:tcPr>
            <w:tcW w:w="8222" w:type="dxa"/>
            <w:vAlign w:val="center"/>
          </w:tcPr>
          <w:p w:rsidR="00FB195A" w:rsidRPr="00FB195A" w:rsidRDefault="00FB195A" w:rsidP="00FB195A">
            <w:pPr>
              <w:pStyle w:val="TblLeft"/>
              <w:cnfStyle w:val="000000000000" w:firstRow="0" w:lastRow="0" w:firstColumn="0" w:lastColumn="0" w:oddVBand="0" w:evenVBand="0" w:oddHBand="0" w:evenHBand="0" w:firstRowFirstColumn="0" w:firstRowLastColumn="0" w:lastRowFirstColumn="0" w:lastRowLastColumn="0"/>
            </w:pPr>
            <w:r w:rsidRPr="00FB195A">
              <w:t xml:space="preserve">Cauterisation (other than by chemical means) or cauterisation by chemical means when performed under general anaesthesia </w:t>
            </w:r>
            <w:r w:rsidRPr="00FB195A">
              <w:rPr>
                <w:rStyle w:val="RedText"/>
              </w:rPr>
              <w:t>or</w:t>
            </w:r>
            <w:r w:rsidRPr="00FB195A">
              <w:t xml:space="preserve"> diathermy of septum or turbinates </w:t>
            </w:r>
            <w:r w:rsidRPr="00FB195A">
              <w:rPr>
                <w:rStyle w:val="RedTextStrikethrough0"/>
              </w:rPr>
              <w:t>or pharynx</w:t>
            </w:r>
            <w:r w:rsidRPr="00FB195A">
              <w:t>—one or more of these procedures (including any consultation on the same occasion) other than a service associated with another operation on the nose (Anaes.)</w:t>
            </w:r>
          </w:p>
          <w:p w:rsidR="00FB195A" w:rsidRPr="00FB195A" w:rsidRDefault="00FB195A" w:rsidP="00FB195A">
            <w:pPr>
              <w:pStyle w:val="TblLeft"/>
              <w:cnfStyle w:val="000000000000" w:firstRow="0" w:lastRow="0" w:firstColumn="0" w:lastColumn="0" w:oddVBand="0" w:evenVBand="0" w:oddHBand="0" w:evenHBand="0" w:firstRowFirstColumn="0" w:firstRowLastColumn="0" w:lastRowFirstColumn="0" w:lastRowLastColumn="0"/>
              <w:rPr>
                <w:rStyle w:val="Strong"/>
              </w:rPr>
            </w:pPr>
            <w:r w:rsidRPr="00FB195A">
              <w:rPr>
                <w:rStyle w:val="Strong"/>
              </w:rPr>
              <w:t>Fee: $100.50</w:t>
            </w:r>
            <w:r w:rsidR="00D735C0">
              <w:rPr>
                <w:rStyle w:val="Strong"/>
              </w:rPr>
              <w:t xml:space="preserve">   Benefit: 75%</w:t>
            </w:r>
            <w:r w:rsidR="00B30228">
              <w:rPr>
                <w:rStyle w:val="Strong"/>
              </w:rPr>
              <w:t xml:space="preserve"> </w:t>
            </w:r>
            <w:r w:rsidR="00D735C0">
              <w:rPr>
                <w:rStyle w:val="Strong"/>
              </w:rPr>
              <w:t>= $75.40      85%</w:t>
            </w:r>
            <w:r w:rsidR="00B30228">
              <w:rPr>
                <w:rStyle w:val="Strong"/>
              </w:rPr>
              <w:t xml:space="preserve"> </w:t>
            </w:r>
            <w:r w:rsidR="00D735C0">
              <w:rPr>
                <w:rStyle w:val="Strong"/>
              </w:rPr>
              <w:t>=</w:t>
            </w:r>
            <w:r w:rsidR="00B30228">
              <w:rPr>
                <w:rStyle w:val="Strong"/>
              </w:rPr>
              <w:t xml:space="preserve"> </w:t>
            </w:r>
            <w:r w:rsidR="00D735C0">
              <w:rPr>
                <w:rStyle w:val="Strong"/>
              </w:rPr>
              <w:t>$85.45</w:t>
            </w:r>
          </w:p>
        </w:tc>
      </w:tr>
      <w:tr w:rsidR="00FB195A" w:rsidRPr="001E7E68" w:rsidTr="00FB195A">
        <w:tc>
          <w:tcPr>
            <w:cnfStyle w:val="001000000000" w:firstRow="0" w:lastRow="0" w:firstColumn="1" w:lastColumn="0" w:oddVBand="0" w:evenVBand="0" w:oddHBand="0" w:evenHBand="0" w:firstRowFirstColumn="0" w:firstRowLastColumn="0" w:lastRowFirstColumn="0" w:lastRowLastColumn="0"/>
            <w:tcW w:w="912" w:type="dxa"/>
            <w:vAlign w:val="center"/>
          </w:tcPr>
          <w:p w:rsidR="00FB195A" w:rsidRPr="00FB195A" w:rsidRDefault="00FB195A" w:rsidP="00FB195A">
            <w:pPr>
              <w:pStyle w:val="TblLeft"/>
            </w:pPr>
            <w:r w:rsidRPr="00FB195A">
              <w:t>41789</w:t>
            </w:r>
          </w:p>
        </w:tc>
        <w:tc>
          <w:tcPr>
            <w:tcW w:w="8222" w:type="dxa"/>
            <w:vAlign w:val="center"/>
          </w:tcPr>
          <w:p w:rsidR="00FB195A" w:rsidRPr="00FB195A" w:rsidRDefault="00FB195A" w:rsidP="00FB195A">
            <w:pPr>
              <w:pStyle w:val="TblLeft"/>
              <w:cnfStyle w:val="000000000000" w:firstRow="0" w:lastRow="0" w:firstColumn="0" w:lastColumn="0" w:oddVBand="0" w:evenVBand="0" w:oddHBand="0" w:evenHBand="0" w:firstRowFirstColumn="0" w:firstRowLastColumn="0" w:lastRowFirstColumn="0" w:lastRowLastColumn="0"/>
            </w:pPr>
            <w:r w:rsidRPr="00FB195A">
              <w:t xml:space="preserve">Tonsils or tonsils and adenoids, removal of, in a person aged less than 12 years, </w:t>
            </w:r>
            <w:r w:rsidRPr="00FB195A">
              <w:rPr>
                <w:rStyle w:val="RedText"/>
              </w:rPr>
              <w:t>including any examination of the postnasal space and nasopharynx and infiltration of local anaesthetic; not being a service associated with item 41764</w:t>
            </w:r>
            <w:r w:rsidRPr="00FB195A">
              <w:t xml:space="preserve">  </w:t>
            </w:r>
            <w:r w:rsidRPr="00FB195A">
              <w:rPr>
                <w:rStyle w:val="RedTextStrikethrough0"/>
              </w:rPr>
              <w:t>(S)</w:t>
            </w:r>
            <w:r w:rsidRPr="00FB195A">
              <w:t xml:space="preserve"> (H) (Anaes.)</w:t>
            </w:r>
          </w:p>
          <w:p w:rsidR="00FB195A" w:rsidRPr="00FB195A" w:rsidRDefault="00FB195A" w:rsidP="00FB195A">
            <w:pPr>
              <w:pStyle w:val="TblLeft"/>
              <w:cnfStyle w:val="000000000000" w:firstRow="0" w:lastRow="0" w:firstColumn="0" w:lastColumn="0" w:oddVBand="0" w:evenVBand="0" w:oddHBand="0" w:evenHBand="0" w:firstRowFirstColumn="0" w:firstRowLastColumn="0" w:lastRowFirstColumn="0" w:lastRowLastColumn="0"/>
              <w:rPr>
                <w:rStyle w:val="Strong"/>
              </w:rPr>
            </w:pPr>
            <w:r w:rsidRPr="00FB195A">
              <w:rPr>
                <w:rStyle w:val="Strong"/>
              </w:rPr>
              <w:t>Fee: $295.70</w:t>
            </w:r>
            <w:r w:rsidR="00D735C0">
              <w:rPr>
                <w:rStyle w:val="Strong"/>
              </w:rPr>
              <w:t xml:space="preserve">   Benefit: 75%</w:t>
            </w:r>
            <w:r w:rsidR="00200928">
              <w:rPr>
                <w:rStyle w:val="Strong"/>
              </w:rPr>
              <w:t xml:space="preserve"> </w:t>
            </w:r>
            <w:r w:rsidR="00D735C0">
              <w:rPr>
                <w:rStyle w:val="Strong"/>
              </w:rPr>
              <w:t xml:space="preserve">= $221.80      </w:t>
            </w:r>
          </w:p>
        </w:tc>
      </w:tr>
      <w:tr w:rsidR="00FB195A" w:rsidRPr="001E7E68" w:rsidTr="00FB195A">
        <w:tc>
          <w:tcPr>
            <w:cnfStyle w:val="001000000000" w:firstRow="0" w:lastRow="0" w:firstColumn="1" w:lastColumn="0" w:oddVBand="0" w:evenVBand="0" w:oddHBand="0" w:evenHBand="0" w:firstRowFirstColumn="0" w:firstRowLastColumn="0" w:lastRowFirstColumn="0" w:lastRowLastColumn="0"/>
            <w:tcW w:w="912" w:type="dxa"/>
            <w:vAlign w:val="center"/>
          </w:tcPr>
          <w:p w:rsidR="00FB195A" w:rsidRPr="00FB195A" w:rsidRDefault="00FB195A" w:rsidP="00FB195A">
            <w:pPr>
              <w:pStyle w:val="TblLeft"/>
            </w:pPr>
            <w:r w:rsidRPr="00FB195A">
              <w:t>41793</w:t>
            </w:r>
          </w:p>
        </w:tc>
        <w:tc>
          <w:tcPr>
            <w:tcW w:w="8222" w:type="dxa"/>
            <w:vAlign w:val="center"/>
          </w:tcPr>
          <w:p w:rsidR="00FB195A" w:rsidRPr="00FB195A" w:rsidRDefault="00FB195A" w:rsidP="00FB195A">
            <w:pPr>
              <w:pStyle w:val="TblLeft"/>
              <w:cnfStyle w:val="000000000000" w:firstRow="0" w:lastRow="0" w:firstColumn="0" w:lastColumn="0" w:oddVBand="0" w:evenVBand="0" w:oddHBand="0" w:evenHBand="0" w:firstRowFirstColumn="0" w:firstRowLastColumn="0" w:lastRowFirstColumn="0" w:lastRowLastColumn="0"/>
            </w:pPr>
            <w:r w:rsidRPr="00FB195A">
              <w:t xml:space="preserve">Tonsils or tonsils and adenoids, removal of, in a person 12 years of age or over, </w:t>
            </w:r>
            <w:r w:rsidRPr="00FB195A">
              <w:rPr>
                <w:rStyle w:val="RedText"/>
              </w:rPr>
              <w:t>including any examination of the postnasal space and nasopharynx and infiltration of local anaesthetic; not being a service associated with item 41764</w:t>
            </w:r>
            <w:r w:rsidRPr="00FB195A">
              <w:t xml:space="preserve">  </w:t>
            </w:r>
            <w:r w:rsidRPr="00FB195A">
              <w:rPr>
                <w:rStyle w:val="RedTextStrikethrough0"/>
              </w:rPr>
              <w:t>(S)</w:t>
            </w:r>
            <w:r w:rsidRPr="00FB195A">
              <w:t xml:space="preserve"> (H) (Anaes.)</w:t>
            </w:r>
          </w:p>
          <w:p w:rsidR="00FB195A" w:rsidRPr="00FB195A" w:rsidRDefault="00FB195A" w:rsidP="00D735C0">
            <w:pPr>
              <w:pStyle w:val="TblLeft"/>
              <w:cnfStyle w:val="000000000000" w:firstRow="0" w:lastRow="0" w:firstColumn="0" w:lastColumn="0" w:oddVBand="0" w:evenVBand="0" w:oddHBand="0" w:evenHBand="0" w:firstRowFirstColumn="0" w:firstRowLastColumn="0" w:lastRowFirstColumn="0" w:lastRowLastColumn="0"/>
              <w:rPr>
                <w:rStyle w:val="Strong"/>
              </w:rPr>
            </w:pPr>
            <w:r w:rsidRPr="00FB195A">
              <w:rPr>
                <w:rStyle w:val="Strong"/>
              </w:rPr>
              <w:t>Fee: $371.50</w:t>
            </w:r>
            <w:r w:rsidR="00D735C0">
              <w:rPr>
                <w:rStyle w:val="Strong"/>
              </w:rPr>
              <w:t xml:space="preserve">   Benefit: 75%</w:t>
            </w:r>
            <w:r w:rsidR="00200928">
              <w:rPr>
                <w:rStyle w:val="Strong"/>
              </w:rPr>
              <w:t xml:space="preserve"> </w:t>
            </w:r>
            <w:r w:rsidR="00D735C0">
              <w:rPr>
                <w:rStyle w:val="Strong"/>
              </w:rPr>
              <w:t xml:space="preserve">= $278.65      </w:t>
            </w:r>
          </w:p>
        </w:tc>
      </w:tr>
      <w:tr w:rsidR="00FB195A" w:rsidRPr="001E7E68" w:rsidTr="00FB195A">
        <w:tc>
          <w:tcPr>
            <w:cnfStyle w:val="001000000000" w:firstRow="0" w:lastRow="0" w:firstColumn="1" w:lastColumn="0" w:oddVBand="0" w:evenVBand="0" w:oddHBand="0" w:evenHBand="0" w:firstRowFirstColumn="0" w:firstRowLastColumn="0" w:lastRowFirstColumn="0" w:lastRowLastColumn="0"/>
            <w:tcW w:w="912" w:type="dxa"/>
            <w:vAlign w:val="center"/>
          </w:tcPr>
          <w:p w:rsidR="00FB195A" w:rsidRPr="00FB195A" w:rsidRDefault="00FB195A" w:rsidP="00FB195A">
            <w:pPr>
              <w:pStyle w:val="TblLeft"/>
            </w:pPr>
            <w:r w:rsidRPr="00FB195A">
              <w:lastRenderedPageBreak/>
              <w:t>41801</w:t>
            </w:r>
          </w:p>
        </w:tc>
        <w:tc>
          <w:tcPr>
            <w:tcW w:w="8222" w:type="dxa"/>
            <w:vAlign w:val="center"/>
          </w:tcPr>
          <w:p w:rsidR="00FB195A" w:rsidRPr="00FB195A" w:rsidRDefault="00FB195A" w:rsidP="00FB195A">
            <w:pPr>
              <w:pStyle w:val="TblLeft"/>
              <w:cnfStyle w:val="000000000000" w:firstRow="0" w:lastRow="0" w:firstColumn="0" w:lastColumn="0" w:oddVBand="0" w:evenVBand="0" w:oddHBand="0" w:evenHBand="0" w:firstRowFirstColumn="0" w:firstRowLastColumn="0" w:lastRowFirstColumn="0" w:lastRowLastColumn="0"/>
            </w:pPr>
            <w:r w:rsidRPr="00FB195A">
              <w:t xml:space="preserve">Adenoids, removal of, </w:t>
            </w:r>
            <w:r w:rsidRPr="00FB195A">
              <w:rPr>
                <w:rStyle w:val="RedText"/>
              </w:rPr>
              <w:t>including any examination of the postnasal space and nasopharynx and infiltration of local anaesthetic; not being a service associated with item 41764</w:t>
            </w:r>
            <w:r w:rsidRPr="00FB195A">
              <w:t xml:space="preserve"> </w:t>
            </w:r>
            <w:r w:rsidRPr="00FB195A">
              <w:rPr>
                <w:rStyle w:val="RedTextStrikethrough0"/>
              </w:rPr>
              <w:t>(S)</w:t>
            </w:r>
            <w:r w:rsidRPr="00FB195A">
              <w:t xml:space="preserve"> (H) (Anaes.)</w:t>
            </w:r>
          </w:p>
          <w:p w:rsidR="00FB195A" w:rsidRPr="00FB195A" w:rsidRDefault="00FB195A" w:rsidP="00D735C0">
            <w:pPr>
              <w:pStyle w:val="TblLeft"/>
              <w:cnfStyle w:val="000000000000" w:firstRow="0" w:lastRow="0" w:firstColumn="0" w:lastColumn="0" w:oddVBand="0" w:evenVBand="0" w:oddHBand="0" w:evenHBand="0" w:firstRowFirstColumn="0" w:firstRowLastColumn="0" w:lastRowFirstColumn="0" w:lastRowLastColumn="0"/>
              <w:rPr>
                <w:rStyle w:val="Strong"/>
              </w:rPr>
            </w:pPr>
            <w:r w:rsidRPr="00FB195A">
              <w:rPr>
                <w:rStyle w:val="Strong"/>
              </w:rPr>
              <w:t>Fee: $1</w:t>
            </w:r>
            <w:r w:rsidR="00D735C0">
              <w:rPr>
                <w:rStyle w:val="Strong"/>
              </w:rPr>
              <w:t>6</w:t>
            </w:r>
            <w:r w:rsidRPr="00FB195A">
              <w:rPr>
                <w:rStyle w:val="Strong"/>
              </w:rPr>
              <w:t>2.95</w:t>
            </w:r>
            <w:r w:rsidR="00D735C0">
              <w:rPr>
                <w:rStyle w:val="Strong"/>
              </w:rPr>
              <w:t xml:space="preserve">   Benefit: 75%</w:t>
            </w:r>
            <w:r w:rsidR="00200928">
              <w:rPr>
                <w:rStyle w:val="Strong"/>
              </w:rPr>
              <w:t xml:space="preserve"> </w:t>
            </w:r>
            <w:r w:rsidR="00D735C0">
              <w:rPr>
                <w:rStyle w:val="Strong"/>
              </w:rPr>
              <w:t xml:space="preserve">= $122.25      </w:t>
            </w:r>
          </w:p>
        </w:tc>
      </w:tr>
    </w:tbl>
    <w:p w:rsidR="00FB195A" w:rsidRPr="00FB195A" w:rsidRDefault="00FB195A" w:rsidP="00FB195A"/>
    <w:sectPr w:rsidR="00FB195A" w:rsidRPr="00FB195A" w:rsidSect="00A563E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98" w:rsidRDefault="00B27198" w:rsidP="00743091">
      <w:r>
        <w:separator/>
      </w:r>
    </w:p>
    <w:p w:rsidR="00B27198" w:rsidRDefault="00B27198" w:rsidP="00743091"/>
    <w:p w:rsidR="00B27198" w:rsidRDefault="00B27198" w:rsidP="00743091"/>
  </w:endnote>
  <w:endnote w:type="continuationSeparator" w:id="0">
    <w:p w:rsidR="00B27198" w:rsidRDefault="00B27198" w:rsidP="00743091">
      <w:r>
        <w:continuationSeparator/>
      </w:r>
    </w:p>
    <w:p w:rsidR="00B27198" w:rsidRDefault="00B27198" w:rsidP="00743091"/>
    <w:p w:rsidR="00B27198" w:rsidRDefault="00B27198"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1E1F76" w:rsidRPr="001E1F76">
      <w:rPr>
        <w:b/>
      </w:rPr>
      <w:t>Changes to Ear, Nose and Throat Items 41674, 41789, 41793 and 41801</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BA5A3A">
      <w:rPr>
        <w:noProof/>
      </w:rPr>
      <w:t>1</w:t>
    </w:r>
    <w:r w:rsidR="00690C0B" w:rsidRPr="00A563EC">
      <w:fldChar w:fldCharType="end"/>
    </w:r>
    <w:r w:rsidR="00690C0B" w:rsidRPr="00A563EC">
      <w:t xml:space="preserve"> of </w:t>
    </w:r>
    <w:r w:rsidR="00BA5A3A">
      <w:fldChar w:fldCharType="begin"/>
    </w:r>
    <w:r w:rsidR="00BA5A3A">
      <w:instrText xml:space="preserve"> NUMPAGES  \* Arabic  \* MERGEFORMAT </w:instrText>
    </w:r>
    <w:r w:rsidR="00BA5A3A">
      <w:fldChar w:fldCharType="separate"/>
    </w:r>
    <w:r w:rsidR="00BA5A3A">
      <w:rPr>
        <w:noProof/>
      </w:rPr>
      <w:t>2</w:t>
    </w:r>
    <w:r w:rsidR="00BA5A3A">
      <w:rPr>
        <w:noProof/>
      </w:rPr>
      <w:fldChar w:fldCharType="end"/>
    </w:r>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98" w:rsidRDefault="00B27198" w:rsidP="00743091">
      <w:r>
        <w:separator/>
      </w:r>
    </w:p>
    <w:p w:rsidR="00B27198" w:rsidRDefault="00B27198" w:rsidP="00743091"/>
    <w:p w:rsidR="00B27198" w:rsidRDefault="00B27198" w:rsidP="00743091"/>
  </w:footnote>
  <w:footnote w:type="continuationSeparator" w:id="0">
    <w:p w:rsidR="00B27198" w:rsidRDefault="00B27198" w:rsidP="00743091">
      <w:r>
        <w:continuationSeparator/>
      </w:r>
    </w:p>
    <w:p w:rsidR="00B27198" w:rsidRDefault="00B27198" w:rsidP="00743091"/>
    <w:p w:rsidR="00B27198" w:rsidRDefault="00B27198"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421BD4" w:rsidP="00743091">
    <w:pPr>
      <w:pBdr>
        <w:bottom w:val="single" w:sz="12" w:space="12" w:color="117254"/>
      </w:pBdr>
    </w:pPr>
    <w:r>
      <w:rPr>
        <w:noProof/>
        <w:lang w:eastAsia="en-AU"/>
      </w:rPr>
      <w:drawing>
        <wp:inline distT="0" distB="0" distL="0" distR="0">
          <wp:extent cx="2499360" cy="60198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571EA1"/>
    <w:multiLevelType w:val="hybridMultilevel"/>
    <w:tmpl w:val="7B58859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6"/>
  </w:num>
  <w:num w:numId="6">
    <w:abstractNumId w:val="17"/>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10CA"/>
    <w:rsid w:val="00052C0E"/>
    <w:rsid w:val="00056E36"/>
    <w:rsid w:val="00073FB4"/>
    <w:rsid w:val="00082439"/>
    <w:rsid w:val="000A6119"/>
    <w:rsid w:val="000F7598"/>
    <w:rsid w:val="00110E43"/>
    <w:rsid w:val="00116387"/>
    <w:rsid w:val="00123C0D"/>
    <w:rsid w:val="00185CA9"/>
    <w:rsid w:val="00192CF5"/>
    <w:rsid w:val="001A38D2"/>
    <w:rsid w:val="001B6841"/>
    <w:rsid w:val="001C0470"/>
    <w:rsid w:val="001C612D"/>
    <w:rsid w:val="001D71E7"/>
    <w:rsid w:val="001E1F76"/>
    <w:rsid w:val="001E7E68"/>
    <w:rsid w:val="00200928"/>
    <w:rsid w:val="0021311A"/>
    <w:rsid w:val="00223D7B"/>
    <w:rsid w:val="0022486A"/>
    <w:rsid w:val="00227A2F"/>
    <w:rsid w:val="00233471"/>
    <w:rsid w:val="00254858"/>
    <w:rsid w:val="00274A34"/>
    <w:rsid w:val="00280DDE"/>
    <w:rsid w:val="00293ABC"/>
    <w:rsid w:val="002A6EE1"/>
    <w:rsid w:val="002C49D7"/>
    <w:rsid w:val="002C63D9"/>
    <w:rsid w:val="0030083D"/>
    <w:rsid w:val="0031142C"/>
    <w:rsid w:val="00311639"/>
    <w:rsid w:val="00373DDF"/>
    <w:rsid w:val="00376693"/>
    <w:rsid w:val="00376C22"/>
    <w:rsid w:val="003A56D6"/>
    <w:rsid w:val="003C029B"/>
    <w:rsid w:val="003C56C9"/>
    <w:rsid w:val="003E604B"/>
    <w:rsid w:val="00414045"/>
    <w:rsid w:val="00421BD4"/>
    <w:rsid w:val="00423096"/>
    <w:rsid w:val="00427F62"/>
    <w:rsid w:val="00442D6A"/>
    <w:rsid w:val="0044576F"/>
    <w:rsid w:val="00457276"/>
    <w:rsid w:val="0046785C"/>
    <w:rsid w:val="00475405"/>
    <w:rsid w:val="004A71BD"/>
    <w:rsid w:val="004B2C82"/>
    <w:rsid w:val="004D68D5"/>
    <w:rsid w:val="004E59A6"/>
    <w:rsid w:val="00563A66"/>
    <w:rsid w:val="00575480"/>
    <w:rsid w:val="005C6819"/>
    <w:rsid w:val="005D21B1"/>
    <w:rsid w:val="005E336C"/>
    <w:rsid w:val="0060482F"/>
    <w:rsid w:val="0061439C"/>
    <w:rsid w:val="00617870"/>
    <w:rsid w:val="00625024"/>
    <w:rsid w:val="00631E45"/>
    <w:rsid w:val="00674C43"/>
    <w:rsid w:val="006753DE"/>
    <w:rsid w:val="00681159"/>
    <w:rsid w:val="00690C0B"/>
    <w:rsid w:val="00697964"/>
    <w:rsid w:val="006A387F"/>
    <w:rsid w:val="006C6AF3"/>
    <w:rsid w:val="006D0E0F"/>
    <w:rsid w:val="006F4D33"/>
    <w:rsid w:val="00706F8F"/>
    <w:rsid w:val="00722CB4"/>
    <w:rsid w:val="00727D33"/>
    <w:rsid w:val="007313AE"/>
    <w:rsid w:val="00743091"/>
    <w:rsid w:val="00750EA1"/>
    <w:rsid w:val="00772786"/>
    <w:rsid w:val="007760E1"/>
    <w:rsid w:val="00782C31"/>
    <w:rsid w:val="007D1963"/>
    <w:rsid w:val="007F4E20"/>
    <w:rsid w:val="00844130"/>
    <w:rsid w:val="00845F79"/>
    <w:rsid w:val="008602CE"/>
    <w:rsid w:val="008778DF"/>
    <w:rsid w:val="008F42A2"/>
    <w:rsid w:val="008F76CC"/>
    <w:rsid w:val="00906621"/>
    <w:rsid w:val="0091062C"/>
    <w:rsid w:val="00914E38"/>
    <w:rsid w:val="00945371"/>
    <w:rsid w:val="009556B0"/>
    <w:rsid w:val="00977A67"/>
    <w:rsid w:val="00984C27"/>
    <w:rsid w:val="00990076"/>
    <w:rsid w:val="00993DE2"/>
    <w:rsid w:val="009B69F6"/>
    <w:rsid w:val="009F19E6"/>
    <w:rsid w:val="00A07C59"/>
    <w:rsid w:val="00A15DD9"/>
    <w:rsid w:val="00A3440B"/>
    <w:rsid w:val="00A37CC5"/>
    <w:rsid w:val="00A55D34"/>
    <w:rsid w:val="00A563EC"/>
    <w:rsid w:val="00A77F50"/>
    <w:rsid w:val="00A87435"/>
    <w:rsid w:val="00A94CC2"/>
    <w:rsid w:val="00AB3BC0"/>
    <w:rsid w:val="00AE05A9"/>
    <w:rsid w:val="00B12EFD"/>
    <w:rsid w:val="00B16F94"/>
    <w:rsid w:val="00B27198"/>
    <w:rsid w:val="00B30228"/>
    <w:rsid w:val="00B569FB"/>
    <w:rsid w:val="00B75429"/>
    <w:rsid w:val="00B80BC0"/>
    <w:rsid w:val="00B90C49"/>
    <w:rsid w:val="00BA5A3A"/>
    <w:rsid w:val="00BD2196"/>
    <w:rsid w:val="00BE7E73"/>
    <w:rsid w:val="00BF72A1"/>
    <w:rsid w:val="00BF7993"/>
    <w:rsid w:val="00C22596"/>
    <w:rsid w:val="00C27BD7"/>
    <w:rsid w:val="00C31C4E"/>
    <w:rsid w:val="00C5040C"/>
    <w:rsid w:val="00C6461E"/>
    <w:rsid w:val="00C90304"/>
    <w:rsid w:val="00C9290F"/>
    <w:rsid w:val="00C97A78"/>
    <w:rsid w:val="00CB1ACE"/>
    <w:rsid w:val="00CB316D"/>
    <w:rsid w:val="00CB48D0"/>
    <w:rsid w:val="00CC45A3"/>
    <w:rsid w:val="00CD08D1"/>
    <w:rsid w:val="00CD5592"/>
    <w:rsid w:val="00CE0021"/>
    <w:rsid w:val="00CE137A"/>
    <w:rsid w:val="00CE1CCC"/>
    <w:rsid w:val="00CE4611"/>
    <w:rsid w:val="00CF28D9"/>
    <w:rsid w:val="00CF7021"/>
    <w:rsid w:val="00D00836"/>
    <w:rsid w:val="00D0542E"/>
    <w:rsid w:val="00D14460"/>
    <w:rsid w:val="00D53359"/>
    <w:rsid w:val="00D735C0"/>
    <w:rsid w:val="00DA4463"/>
    <w:rsid w:val="00DA7B04"/>
    <w:rsid w:val="00DB6C17"/>
    <w:rsid w:val="00DC6936"/>
    <w:rsid w:val="00DD7657"/>
    <w:rsid w:val="00DF0E3C"/>
    <w:rsid w:val="00E139B7"/>
    <w:rsid w:val="00E152E4"/>
    <w:rsid w:val="00E209C5"/>
    <w:rsid w:val="00E42F6A"/>
    <w:rsid w:val="00E43A41"/>
    <w:rsid w:val="00E54CD1"/>
    <w:rsid w:val="00E85579"/>
    <w:rsid w:val="00EA5DB4"/>
    <w:rsid w:val="00F2020A"/>
    <w:rsid w:val="00F3600A"/>
    <w:rsid w:val="00F64317"/>
    <w:rsid w:val="00F706DE"/>
    <w:rsid w:val="00F760F5"/>
    <w:rsid w:val="00F821FD"/>
    <w:rsid w:val="00F971C6"/>
    <w:rsid w:val="00FB1701"/>
    <w:rsid w:val="00FB195A"/>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F821FD"/>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F821FD"/>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87552">
      <w:marLeft w:val="0"/>
      <w:marRight w:val="0"/>
      <w:marTop w:val="0"/>
      <w:marBottom w:val="0"/>
      <w:divBdr>
        <w:top w:val="none" w:sz="0" w:space="0" w:color="auto"/>
        <w:left w:val="none" w:sz="0" w:space="0" w:color="auto"/>
        <w:bottom w:val="none" w:sz="0" w:space="0" w:color="auto"/>
        <w:right w:val="none" w:sz="0" w:space="0" w:color="auto"/>
      </w:divBdr>
    </w:div>
    <w:div w:id="1413887554">
      <w:marLeft w:val="0"/>
      <w:marRight w:val="0"/>
      <w:marTop w:val="0"/>
      <w:marBottom w:val="0"/>
      <w:divBdr>
        <w:top w:val="none" w:sz="0" w:space="0" w:color="auto"/>
        <w:left w:val="none" w:sz="0" w:space="0" w:color="auto"/>
        <w:bottom w:val="none" w:sz="0" w:space="0" w:color="auto"/>
        <w:right w:val="none" w:sz="0" w:space="0" w:color="auto"/>
      </w:divBdr>
      <w:divsChild>
        <w:div w:id="1413887547">
          <w:marLeft w:val="0"/>
          <w:marRight w:val="0"/>
          <w:marTop w:val="240"/>
          <w:marBottom w:val="0"/>
          <w:divBdr>
            <w:top w:val="none" w:sz="0" w:space="0" w:color="auto"/>
            <w:left w:val="none" w:sz="0" w:space="0" w:color="auto"/>
            <w:bottom w:val="none" w:sz="0" w:space="0" w:color="auto"/>
            <w:right w:val="none" w:sz="0" w:space="0" w:color="auto"/>
          </w:divBdr>
          <w:divsChild>
            <w:div w:id="1413887550">
              <w:marLeft w:val="0"/>
              <w:marRight w:val="0"/>
              <w:marTop w:val="0"/>
              <w:marBottom w:val="0"/>
              <w:divBdr>
                <w:top w:val="none" w:sz="0" w:space="0" w:color="auto"/>
                <w:left w:val="none" w:sz="0" w:space="0" w:color="auto"/>
                <w:bottom w:val="none" w:sz="0" w:space="0" w:color="auto"/>
                <w:right w:val="none" w:sz="0" w:space="0" w:color="auto"/>
              </w:divBdr>
              <w:divsChild>
                <w:div w:id="1413887553">
                  <w:marLeft w:val="0"/>
                  <w:marRight w:val="0"/>
                  <w:marTop w:val="0"/>
                  <w:marBottom w:val="0"/>
                  <w:divBdr>
                    <w:top w:val="none" w:sz="0" w:space="0" w:color="auto"/>
                    <w:left w:val="none" w:sz="0" w:space="0" w:color="auto"/>
                    <w:bottom w:val="none" w:sz="0" w:space="0" w:color="auto"/>
                    <w:right w:val="none" w:sz="0" w:space="0" w:color="auto"/>
                  </w:divBdr>
                  <w:divsChild>
                    <w:div w:id="1413887549">
                      <w:marLeft w:val="0"/>
                      <w:marRight w:val="0"/>
                      <w:marTop w:val="0"/>
                      <w:marBottom w:val="0"/>
                      <w:divBdr>
                        <w:top w:val="none" w:sz="0" w:space="0" w:color="auto"/>
                        <w:left w:val="none" w:sz="0" w:space="0" w:color="auto"/>
                        <w:bottom w:val="none" w:sz="0" w:space="0" w:color="auto"/>
                        <w:right w:val="none" w:sz="0" w:space="0" w:color="auto"/>
                      </w:divBdr>
                      <w:divsChild>
                        <w:div w:id="1413887551">
                          <w:marLeft w:val="0"/>
                          <w:marRight w:val="0"/>
                          <w:marTop w:val="0"/>
                          <w:marBottom w:val="0"/>
                          <w:divBdr>
                            <w:top w:val="none" w:sz="0" w:space="0" w:color="auto"/>
                            <w:left w:val="none" w:sz="0" w:space="0" w:color="auto"/>
                            <w:bottom w:val="none" w:sz="0" w:space="0" w:color="auto"/>
                            <w:right w:val="none" w:sz="0" w:space="0" w:color="auto"/>
                          </w:divBdr>
                          <w:divsChild>
                            <w:div w:id="1413887546">
                              <w:marLeft w:val="0"/>
                              <w:marRight w:val="0"/>
                              <w:marTop w:val="0"/>
                              <w:marBottom w:val="0"/>
                              <w:divBdr>
                                <w:top w:val="none" w:sz="0" w:space="0" w:color="auto"/>
                                <w:left w:val="none" w:sz="0" w:space="0" w:color="auto"/>
                                <w:bottom w:val="none" w:sz="0" w:space="0" w:color="auto"/>
                                <w:right w:val="none" w:sz="0" w:space="0" w:color="auto"/>
                              </w:divBdr>
                              <w:divsChild>
                                <w:div w:id="1413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CBDA8A-242A-406C-AEF0-70D44CAD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3</cp:revision>
  <cp:lastPrinted>2017-06-21T01:43:00Z</cp:lastPrinted>
  <dcterms:created xsi:type="dcterms:W3CDTF">2017-10-23T02:02:00Z</dcterms:created>
  <dcterms:modified xsi:type="dcterms:W3CDTF">2017-10-23T02:02:00Z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