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8D" w:rsidRPr="00F605E6" w:rsidRDefault="008B3B6B" w:rsidP="000E421B">
      <w:pPr>
        <w:pStyle w:val="Heading1"/>
        <w:spacing w:before="120"/>
        <w:jc w:val="both"/>
        <w:rPr>
          <w:sz w:val="48"/>
          <w:szCs w:val="48"/>
        </w:rPr>
      </w:pPr>
      <w:r>
        <w:rPr>
          <w:rFonts w:asciiTheme="minorHAnsi" w:hAnsiTheme="minorHAnsi" w:cstheme="minorHAnsi"/>
          <w:sz w:val="48"/>
          <w:szCs w:val="48"/>
        </w:rPr>
        <w:t xml:space="preserve">COVID-19 </w:t>
      </w:r>
      <w:r w:rsidR="00110F8D" w:rsidRPr="00F605E6">
        <w:rPr>
          <w:rFonts w:asciiTheme="minorHAnsi" w:hAnsiTheme="minorHAnsi" w:cstheme="minorHAnsi"/>
          <w:sz w:val="48"/>
          <w:szCs w:val="48"/>
        </w:rPr>
        <w:t>Telehealth Services</w:t>
      </w:r>
    </w:p>
    <w:p w:rsidR="00C44B1D" w:rsidRPr="00C44B1D" w:rsidRDefault="00514758" w:rsidP="00BA129D">
      <w:pPr>
        <w:pStyle w:val="Heading2"/>
      </w:pPr>
      <w:bookmarkStart w:id="0" w:name="_Hlk4568006"/>
      <w:r>
        <w:t>Consumer Facts</w:t>
      </w:r>
      <w:r w:rsidR="00C44B1D" w:rsidRPr="00C44B1D">
        <w:t xml:space="preserve">heet </w:t>
      </w:r>
    </w:p>
    <w:p w:rsidR="00110F8D" w:rsidRDefault="00110F8D" w:rsidP="00110F8D">
      <w:r>
        <w:t xml:space="preserve">Last updated: </w:t>
      </w:r>
      <w:r w:rsidR="0038605E">
        <w:t>1</w:t>
      </w:r>
      <w:r w:rsidR="00350569">
        <w:t>8</w:t>
      </w:r>
      <w:r w:rsidR="0038605E">
        <w:t xml:space="preserve"> September </w:t>
      </w:r>
      <w:r w:rsidR="003E3B08">
        <w:t>2020</w:t>
      </w:r>
    </w:p>
    <w:p w:rsidR="001C52EC" w:rsidRDefault="0038605E" w:rsidP="001C52EC">
      <w:pPr>
        <w:pStyle w:val="ListParagraph"/>
        <w:numPr>
          <w:ilvl w:val="0"/>
          <w:numId w:val="1"/>
        </w:numPr>
      </w:pPr>
      <w:bookmarkStart w:id="1" w:name="_Hlk535506978"/>
      <w:bookmarkEnd w:id="0"/>
      <w:r w:rsidRPr="00256D9C">
        <w:t xml:space="preserve">Commencing 13 March 2020 and extending until 31 March 2021, temporary </w:t>
      </w:r>
      <w:r w:rsidR="001C52EC" w:rsidRPr="00256D9C">
        <w:t xml:space="preserve">MBS telehealth items </w:t>
      </w:r>
      <w:r w:rsidR="00BA129D" w:rsidRPr="00256D9C">
        <w:t>have been</w:t>
      </w:r>
      <w:r w:rsidR="001C52EC" w:rsidRPr="00256D9C">
        <w:t xml:space="preserve"> made available to help reduce the risk of community transmission of COVID</w:t>
      </w:r>
      <w:r w:rsidR="001C52EC" w:rsidRPr="00A32CF1">
        <w:t xml:space="preserve">-19 and </w:t>
      </w:r>
      <w:r w:rsidR="001C52EC" w:rsidRPr="00C6108C">
        <w:t xml:space="preserve">provide protection for </w:t>
      </w:r>
      <w:r w:rsidR="001C52EC">
        <w:t>patients and health care</w:t>
      </w:r>
      <w:r w:rsidR="001C52EC" w:rsidRPr="00A32CF1">
        <w:t xml:space="preserve"> providers</w:t>
      </w:r>
      <w:r w:rsidR="001C52EC">
        <w:t>.</w:t>
      </w:r>
      <w:r w:rsidR="001C52EC" w:rsidRPr="00C6108C">
        <w:t xml:space="preserve"> </w:t>
      </w:r>
      <w:r w:rsidR="001C52EC">
        <w:t xml:space="preserve"> </w:t>
      </w:r>
    </w:p>
    <w:p w:rsidR="0038605E" w:rsidRDefault="0038605E" w:rsidP="0038605E">
      <w:pPr>
        <w:pStyle w:val="ListParagraph"/>
        <w:numPr>
          <w:ilvl w:val="0"/>
          <w:numId w:val="1"/>
        </w:numPr>
      </w:pPr>
      <w:r>
        <w:t xml:space="preserve">The temporary MBS telehealth items are available to GPs, medical practitioners, </w:t>
      </w:r>
      <w:r w:rsidR="0025461C">
        <w:t xml:space="preserve">specialists, consultant physicians, </w:t>
      </w:r>
      <w:r>
        <w:t xml:space="preserve">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D271A1" w:rsidRDefault="00AC07E4" w:rsidP="00D271A1">
      <w:pPr>
        <w:pStyle w:val="ListParagraph"/>
        <w:numPr>
          <w:ilvl w:val="0"/>
          <w:numId w:val="1"/>
        </w:numPr>
      </w:pPr>
      <w:r w:rsidRPr="001600CB">
        <w:t>A service may only be provided by telehealth where it is safe and clinically appropriate to do so.</w:t>
      </w:r>
    </w:p>
    <w:p w:rsidR="0038605E" w:rsidRDefault="0038605E" w:rsidP="0038605E">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bookmarkEnd w:id="1"/>
    <w:p w:rsidR="0038605E" w:rsidRPr="00256D9C" w:rsidRDefault="0038605E" w:rsidP="0038605E">
      <w:pPr>
        <w:pStyle w:val="ListParagraph"/>
        <w:numPr>
          <w:ilvl w:val="0"/>
          <w:numId w:val="1"/>
        </w:numPr>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w:t>
      </w:r>
      <w:r w:rsidR="000E5740">
        <w:t xml:space="preserve">stablished clinical </w:t>
      </w:r>
      <w:r>
        <w:t xml:space="preserve">relationship with the </w:t>
      </w:r>
      <w:r w:rsidRPr="00256D9C">
        <w:t>patient. There are limited exemptions to this requirement.</w:t>
      </w:r>
    </w:p>
    <w:p w:rsidR="0038605E" w:rsidRPr="00256D9C" w:rsidRDefault="0038605E" w:rsidP="0038605E">
      <w:pPr>
        <w:pStyle w:val="ListParagraph"/>
        <w:numPr>
          <w:ilvl w:val="0"/>
          <w:numId w:val="1"/>
        </w:numPr>
      </w:pPr>
      <w:r w:rsidRPr="00256D9C">
        <w:t xml:space="preserve">GP and OMP COVID-19 telehealth services are eligible for MBS incentive payments when provided as bulk billed services to Commonwealth concession card holders and children under 16 years of age. </w:t>
      </w:r>
    </w:p>
    <w:p w:rsidR="0038605E" w:rsidRPr="00256D9C" w:rsidRDefault="0038605E" w:rsidP="0038605E">
      <w:pPr>
        <w:pStyle w:val="ListParagraph"/>
        <w:numPr>
          <w:ilvl w:val="0"/>
          <w:numId w:val="1"/>
        </w:numPr>
      </w:pPr>
      <w:r w:rsidRPr="00256D9C">
        <w:t>All providers are expected to obtain informed financial consent from patients prior to charging private fees for COVID-19 telehealth services.</w:t>
      </w:r>
    </w:p>
    <w:p w:rsidR="0038605E" w:rsidRPr="00256D9C" w:rsidRDefault="0038605E" w:rsidP="0038605E">
      <w:pPr>
        <w:pStyle w:val="ListParagraph"/>
        <w:numPr>
          <w:ilvl w:val="0"/>
          <w:numId w:val="1"/>
        </w:numPr>
        <w:rPr>
          <w:strike/>
          <w:color w:val="FF0000"/>
        </w:rPr>
      </w:pPr>
      <w:r w:rsidRPr="00256D9C">
        <w:t xml:space="preserve">The temporary GP and OMP bulk billing incentive items for patients who are vulnerable to COVID-19 and the temporary doubling of all Medicare bulk-billing incentive fees ceased as of 1 October 2020. </w:t>
      </w:r>
    </w:p>
    <w:p w:rsidR="00110F8D" w:rsidRDefault="008F315F" w:rsidP="008B0EEA">
      <w:pPr>
        <w:sectPr w:rsidR="00110F8D" w:rsidSect="00C44B1D">
          <w:headerReference w:type="default" r:id="rId11"/>
          <w:footerReference w:type="default" r:id="rId12"/>
          <w:type w:val="continuous"/>
          <w:pgSz w:w="11906" w:h="16838"/>
          <w:pgMar w:top="3261" w:right="720" w:bottom="720" w:left="720" w:header="709" w:footer="708" w:gutter="0"/>
          <w:cols w:space="708"/>
          <w:docGrid w:linePitch="360"/>
        </w:sectPr>
      </w:pPr>
      <w:r w:rsidRPr="00256D9C">
        <w:rPr>
          <w:rStyle w:val="BookTitle"/>
        </w:rPr>
        <w:pict w14:anchorId="629CA324">
          <v:rect id="_x0000_i1026" style="width:500.25pt;height:1.35pt" o:hrpct="990" o:hralign="center" o:hrstd="t" o:hr="t" fillcolor="#a0a0a0" stroked="f"/>
        </w:pict>
      </w:r>
    </w:p>
    <w:p w:rsidR="00110F8D" w:rsidRPr="00BA129D" w:rsidRDefault="00110F8D" w:rsidP="00BA129D">
      <w:pPr>
        <w:pStyle w:val="Heading2"/>
      </w:pPr>
      <w:r w:rsidRPr="00BA129D">
        <w:t>What are the changes?</w:t>
      </w:r>
    </w:p>
    <w:p w:rsidR="0038605E" w:rsidRPr="00E921FF" w:rsidRDefault="0038605E" w:rsidP="0038605E">
      <w:pPr>
        <w:spacing w:after="120" w:line="276" w:lineRule="auto"/>
      </w:pPr>
      <w:r w:rsidRPr="00E921FF">
        <w:t>From 1 October 2020</w:t>
      </w:r>
      <w:r>
        <w:t xml:space="preserve">, </w:t>
      </w:r>
      <w:r w:rsidRPr="00E921FF">
        <w:t xml:space="preserve">GPs and OMPs providing COVID-19 telehealth services are not required to bulk bill their patients. </w:t>
      </w:r>
    </w:p>
    <w:p w:rsidR="00756644" w:rsidRPr="00756644" w:rsidRDefault="00756644" w:rsidP="00BA129D">
      <w:pPr>
        <w:pStyle w:val="Heading2"/>
      </w:pPr>
      <w:r w:rsidRPr="00756644">
        <w:t>Why are the changes being made?</w:t>
      </w:r>
    </w:p>
    <w:p w:rsidR="00E23722" w:rsidRPr="00A77967" w:rsidRDefault="00E23722" w:rsidP="00E23722">
      <w:pPr>
        <w:rPr>
          <w:rFonts w:asciiTheme="minorHAnsi" w:hAnsiTheme="minorHAnsi" w:cstheme="minorHAnsi"/>
        </w:rPr>
      </w:pPr>
      <w:r w:rsidRPr="00256D9C">
        <w:rPr>
          <w:rFonts w:asciiTheme="minorHAnsi" w:hAnsiTheme="minorHAnsi" w:cstheme="minorHAnsi"/>
          <w:szCs w:val="24"/>
        </w:rPr>
        <w:t>The Government has extended its national COVID-19 emergency health response for a further six months, to 31 March 2021. This will ensure that patients continue to have access to key health initiatives, including Medicare-subsidised telehealth services.</w:t>
      </w:r>
      <w:r w:rsidRPr="00A77967">
        <w:rPr>
          <w:rFonts w:asciiTheme="minorHAnsi" w:hAnsiTheme="minorHAnsi" w:cstheme="minorHAnsi"/>
          <w:szCs w:val="24"/>
        </w:rPr>
        <w:t xml:space="preserve"> </w:t>
      </w:r>
    </w:p>
    <w:p w:rsidR="0038605E" w:rsidRDefault="0038605E" w:rsidP="0038605E">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w:t>
      </w:r>
      <w:r w:rsidR="008F153E">
        <w:t xml:space="preserve">medical practice </w:t>
      </w:r>
      <w:r w:rsidRPr="00A77967">
        <w:t>with whom they have an e</w:t>
      </w:r>
      <w:r w:rsidR="008F153E">
        <w:t xml:space="preserve">stablished </w:t>
      </w:r>
      <w:r>
        <w:t xml:space="preserve">clinical </w:t>
      </w:r>
      <w:r w:rsidRPr="00A77967">
        <w:t>relationship.</w:t>
      </w:r>
    </w:p>
    <w:p w:rsidR="0038605E" w:rsidRDefault="0038605E">
      <w:pPr>
        <w:spacing w:line="259" w:lineRule="auto"/>
        <w:rPr>
          <w:rFonts w:asciiTheme="majorHAnsi" w:hAnsiTheme="majorHAnsi"/>
          <w:color w:val="001A70" w:themeColor="text2"/>
          <w:sz w:val="28"/>
        </w:rPr>
      </w:pPr>
      <w:r>
        <w:br w:type="page"/>
      </w:r>
    </w:p>
    <w:p w:rsidR="00110F8D" w:rsidRPr="00BA129D" w:rsidRDefault="00110F8D" w:rsidP="00BA129D">
      <w:pPr>
        <w:pStyle w:val="Heading2"/>
      </w:pPr>
      <w:r w:rsidRPr="00BA129D">
        <w:lastRenderedPageBreak/>
        <w:t>Who is eligible?</w:t>
      </w:r>
      <w:r w:rsidR="00F56D07" w:rsidRPr="00BA129D">
        <w:t xml:space="preserve"> </w:t>
      </w:r>
    </w:p>
    <w:p w:rsidR="0038605E" w:rsidRDefault="0038605E" w:rsidP="0038605E">
      <w:pPr>
        <w:spacing w:after="120" w:line="276" w:lineRule="auto"/>
        <w:rPr>
          <w:szCs w:val="20"/>
          <w:lang w:eastAsia="en-AU"/>
        </w:rPr>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p>
    <w:p w:rsidR="0038605E" w:rsidRPr="00774961" w:rsidRDefault="0038605E" w:rsidP="0038605E">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38605E" w:rsidRPr="00774961" w:rsidRDefault="0038605E" w:rsidP="0038605E">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8F153E">
        <w:rPr>
          <w:rFonts w:asciiTheme="minorHAnsi" w:eastAsiaTheme="minorHAnsi" w:hAnsiTheme="minorHAnsi" w:cstheme="minorHAnsi"/>
          <w:bCs/>
          <w:szCs w:val="24"/>
        </w:rPr>
        <w:t xml:space="preserve">in </w:t>
      </w:r>
      <w:r w:rsidRPr="00774961">
        <w:rPr>
          <w:rFonts w:asciiTheme="minorHAnsi" w:eastAsiaTheme="minorHAnsi" w:hAnsiTheme="minorHAnsi" w:cstheme="minorHAnsi"/>
          <w:bCs/>
          <w:szCs w:val="24"/>
        </w:rPr>
        <w:t xml:space="preserve">the </w:t>
      </w:r>
      <w:r w:rsidR="00EE35EF">
        <w:rPr>
          <w:rFonts w:asciiTheme="minorHAnsi" w:eastAsiaTheme="minorHAnsi" w:hAnsiTheme="minorHAnsi" w:cstheme="minorHAnsi"/>
          <w:bCs/>
          <w:szCs w:val="24"/>
        </w:rPr>
        <w:t>last 12 months</w:t>
      </w:r>
      <w:r w:rsidRPr="00774961">
        <w:rPr>
          <w:rFonts w:asciiTheme="minorHAnsi" w:eastAsiaTheme="minorHAnsi" w:hAnsiTheme="minorHAnsi" w:cstheme="minorHAnsi"/>
          <w:bCs/>
          <w:szCs w:val="24"/>
        </w:rPr>
        <w:t xml:space="preserve">. </w:t>
      </w:r>
    </w:p>
    <w:p w:rsidR="0038605E" w:rsidRPr="00774961" w:rsidRDefault="0038605E" w:rsidP="0038605E">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rsidR="0038605E" w:rsidRPr="00774961" w:rsidRDefault="0038605E" w:rsidP="0038605E">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E34046" w:rsidRPr="000E3380" w:rsidRDefault="00E34046" w:rsidP="00D9212F">
      <w:pPr>
        <w:spacing w:after="120"/>
      </w:pPr>
      <w:r>
        <w:t xml:space="preserve">Current COVID-19 impacted areas in Victoria are listed at: </w:t>
      </w:r>
      <w:hyperlink r:id="rId13" w:history="1">
        <w:r>
          <w:rPr>
            <w:rStyle w:val="Hyperlink"/>
          </w:rPr>
          <w:t>https://www.dhhs.vic.gov.au/victorias-restriction-levels-covid-19</w:t>
        </w:r>
      </w:hyperlink>
    </w:p>
    <w:p w:rsidR="00B56A6A" w:rsidRPr="00BA129D" w:rsidRDefault="00B56A6A" w:rsidP="00BA129D">
      <w:pPr>
        <w:pStyle w:val="Heading2"/>
      </w:pPr>
      <w:r w:rsidRPr="00BA129D">
        <w:t>How do I make a telehealth appointment?</w:t>
      </w:r>
    </w:p>
    <w:p w:rsidR="00C44B1D" w:rsidRPr="00D67AB0" w:rsidRDefault="00C44B1D" w:rsidP="00C44B1D">
      <w:pPr>
        <w:pStyle w:val="Heading2"/>
        <w:spacing w:line="276" w:lineRule="auto"/>
        <w:rPr>
          <w:rFonts w:ascii="Arial" w:hAnsi="Arial"/>
          <w:color w:val="auto"/>
          <w:sz w:val="20"/>
          <w:szCs w:val="20"/>
          <w:lang w:eastAsia="en-AU"/>
        </w:rPr>
      </w:pPr>
      <w:r w:rsidRPr="00D67AB0">
        <w:rPr>
          <w:rFonts w:ascii="Arial" w:hAnsi="Arial"/>
          <w:color w:val="auto"/>
          <w:sz w:val="20"/>
          <w:szCs w:val="20"/>
          <w:lang w:eastAsia="en-AU"/>
        </w:rPr>
        <w:t>When making an appointment with your health professional, you c</w:t>
      </w:r>
      <w:r w:rsidR="0038605E">
        <w:rPr>
          <w:rFonts w:ascii="Arial" w:hAnsi="Arial"/>
          <w:color w:val="auto"/>
          <w:sz w:val="20"/>
          <w:szCs w:val="20"/>
          <w:lang w:eastAsia="en-AU"/>
        </w:rPr>
        <w:t>an</w:t>
      </w:r>
      <w:r w:rsidRPr="00D67AB0">
        <w:rPr>
          <w:rFonts w:ascii="Arial" w:hAnsi="Arial"/>
          <w:color w:val="auto"/>
          <w:sz w:val="20"/>
          <w:szCs w:val="20"/>
          <w:lang w:eastAsia="en-AU"/>
        </w:rPr>
        <w:t xml:space="preserve"> indicate that you would like your consultation performed via telehealth. Your health professional may </w:t>
      </w:r>
      <w:r w:rsidR="003E3B08">
        <w:rPr>
          <w:rFonts w:ascii="Arial" w:hAnsi="Arial"/>
          <w:color w:val="auto"/>
          <w:sz w:val="20"/>
          <w:szCs w:val="20"/>
          <w:lang w:eastAsia="en-AU"/>
        </w:rPr>
        <w:t xml:space="preserve">confirm your eligibility and </w:t>
      </w:r>
      <w:r w:rsidRPr="00D67AB0">
        <w:rPr>
          <w:rFonts w:ascii="Arial" w:hAnsi="Arial"/>
          <w:color w:val="auto"/>
          <w:sz w:val="20"/>
          <w:szCs w:val="20"/>
          <w:lang w:eastAsia="en-AU"/>
        </w:rPr>
        <w:t>also offer any</w:t>
      </w:r>
      <w:r w:rsidR="00D67AB0">
        <w:rPr>
          <w:rFonts w:ascii="Arial" w:hAnsi="Arial"/>
          <w:color w:val="auto"/>
          <w:sz w:val="20"/>
          <w:szCs w:val="20"/>
          <w:lang w:eastAsia="en-AU"/>
        </w:rPr>
        <w:t xml:space="preserve"> </w:t>
      </w:r>
      <w:r w:rsidR="00FF43A3">
        <w:rPr>
          <w:rFonts w:ascii="Arial" w:hAnsi="Arial"/>
          <w:color w:val="auto"/>
          <w:sz w:val="20"/>
          <w:szCs w:val="20"/>
          <w:lang w:eastAsia="en-AU"/>
        </w:rPr>
        <w:t xml:space="preserve">pre-booked </w:t>
      </w:r>
      <w:r w:rsidR="00D67AB0">
        <w:rPr>
          <w:rFonts w:ascii="Arial" w:hAnsi="Arial"/>
          <w:color w:val="auto"/>
          <w:sz w:val="20"/>
          <w:szCs w:val="20"/>
          <w:lang w:eastAsia="en-AU"/>
        </w:rPr>
        <w:t xml:space="preserve">appointments as a telehealth </w:t>
      </w:r>
      <w:r w:rsidR="005E7CF7">
        <w:rPr>
          <w:rFonts w:ascii="Arial" w:hAnsi="Arial"/>
          <w:color w:val="auto"/>
          <w:sz w:val="20"/>
          <w:szCs w:val="20"/>
          <w:lang w:eastAsia="en-AU"/>
        </w:rPr>
        <w:t>appointment</w:t>
      </w:r>
      <w:r w:rsidR="00FF43A3">
        <w:rPr>
          <w:rFonts w:ascii="Arial" w:hAnsi="Arial"/>
          <w:color w:val="auto"/>
          <w:sz w:val="20"/>
          <w:szCs w:val="20"/>
          <w:lang w:eastAsia="en-AU"/>
        </w:rPr>
        <w:t>, if clinically appropriate</w:t>
      </w:r>
      <w:r w:rsidR="00D67AB0">
        <w:rPr>
          <w:rFonts w:ascii="Arial" w:hAnsi="Arial"/>
          <w:color w:val="auto"/>
          <w:sz w:val="20"/>
          <w:szCs w:val="20"/>
          <w:lang w:eastAsia="en-AU"/>
        </w:rPr>
        <w:t xml:space="preserve">. </w:t>
      </w:r>
    </w:p>
    <w:p w:rsidR="00110F8D" w:rsidRPr="00BA129D" w:rsidRDefault="00110F8D" w:rsidP="00BA129D">
      <w:pPr>
        <w:pStyle w:val="Heading2"/>
      </w:pPr>
      <w:r w:rsidRPr="00BA129D">
        <w:t>What telehealth options are available?</w:t>
      </w:r>
    </w:p>
    <w:p w:rsidR="001C52EC" w:rsidRDefault="001C52EC" w:rsidP="001C52EC">
      <w:pPr>
        <w:spacing w:before="200" w:after="120" w:line="276" w:lineRule="auto"/>
      </w:pPr>
      <w:r>
        <w:t>Videoconference services are the preferred approach for substituting a face-to-face consultation. However</w:t>
      </w:r>
      <w:r w:rsidR="00556575">
        <w:t>, h</w:t>
      </w:r>
      <w:r w:rsidR="00EE0B6F">
        <w:t>ealth practitioners</w:t>
      </w:r>
      <w:r>
        <w:t xml:space="preserve"> will also be able to offer audio-only services via telephone</w:t>
      </w:r>
      <w:r w:rsidRPr="00281DBF">
        <w:t xml:space="preserve"> </w:t>
      </w:r>
      <w:r>
        <w:t xml:space="preserve">if video is not available. </w:t>
      </w:r>
    </w:p>
    <w:p w:rsidR="00EE0B6F" w:rsidRDefault="001C52EC" w:rsidP="000E421B">
      <w:pPr>
        <w:spacing w:before="200" w:after="120" w:line="276" w:lineRule="auto"/>
      </w:pPr>
      <w:r>
        <w:t xml:space="preserve">No specific equipment is required to provide Medicare-compliant telehealth services. </w:t>
      </w:r>
    </w:p>
    <w:p w:rsidR="00D67AB0" w:rsidRDefault="00D67AB0" w:rsidP="00D67AB0">
      <w:r>
        <w:t>Patients can now access</w:t>
      </w:r>
      <w:r w:rsidR="00D465BE">
        <w:t xml:space="preserve"> MBS </w:t>
      </w:r>
      <w:r>
        <w:t>telehealth consultations with:</w:t>
      </w:r>
    </w:p>
    <w:p w:rsidR="008B7C2A" w:rsidRDefault="008B7C2A" w:rsidP="008B7C2A">
      <w:pPr>
        <w:sectPr w:rsidR="008B7C2A" w:rsidSect="003E6457">
          <w:headerReference w:type="even" r:id="rId14"/>
          <w:headerReference w:type="default" r:id="rId15"/>
          <w:footerReference w:type="default" r:id="rId16"/>
          <w:headerReference w:type="first" r:id="rId17"/>
          <w:type w:val="continuous"/>
          <w:pgSz w:w="11906" w:h="16838"/>
          <w:pgMar w:top="3261" w:right="720" w:bottom="720" w:left="720" w:header="708" w:footer="708" w:gutter="0"/>
          <w:cols w:space="708"/>
          <w:docGrid w:linePitch="360"/>
        </w:sectPr>
      </w:pPr>
    </w:p>
    <w:p w:rsidR="008B7C2A" w:rsidRDefault="008B7C2A" w:rsidP="008B7C2A">
      <w:r>
        <w:t>General Practitioners</w:t>
      </w:r>
    </w:p>
    <w:p w:rsidR="008B7C2A" w:rsidRDefault="008B7C2A" w:rsidP="008B7C2A">
      <w:r>
        <w:t>Specialists (Psychiatrists and Surgeons among others)</w:t>
      </w:r>
    </w:p>
    <w:p w:rsidR="008B7C2A" w:rsidRDefault="008B7C2A" w:rsidP="008B7C2A">
      <w:r>
        <w:t>Aboriginal and Torres Strait Islander Health Practitioners and Health Workers</w:t>
      </w:r>
    </w:p>
    <w:p w:rsidR="008B7C2A" w:rsidRDefault="008B7C2A" w:rsidP="008B7C2A">
      <w:r>
        <w:t>Audiologists</w:t>
      </w:r>
    </w:p>
    <w:p w:rsidR="008B7C2A" w:rsidRDefault="008B7C2A" w:rsidP="008B7C2A">
      <w:r>
        <w:t>Chiropractors</w:t>
      </w:r>
    </w:p>
    <w:p w:rsidR="008B7C2A" w:rsidRDefault="008B7C2A" w:rsidP="008B7C2A">
      <w:r>
        <w:t>Clinical Psychologists</w:t>
      </w:r>
    </w:p>
    <w:p w:rsidR="008B7C2A" w:rsidRDefault="008B7C2A" w:rsidP="008B7C2A">
      <w:r>
        <w:t>Diabetes Educators</w:t>
      </w:r>
    </w:p>
    <w:p w:rsidR="008B7C2A" w:rsidRDefault="008B7C2A" w:rsidP="008B7C2A">
      <w:r>
        <w:t>Dietitians</w:t>
      </w:r>
    </w:p>
    <w:p w:rsidR="008B7C2A" w:rsidRDefault="008B7C2A" w:rsidP="008B7C2A">
      <w:r>
        <w:t>Exercise physiologists</w:t>
      </w:r>
    </w:p>
    <w:p w:rsidR="008B7C2A" w:rsidRDefault="008B7C2A" w:rsidP="008B7C2A">
      <w:r>
        <w:t>Mental health workers</w:t>
      </w:r>
    </w:p>
    <w:p w:rsidR="008B7C2A" w:rsidRDefault="008B7C2A" w:rsidP="008B7C2A">
      <w:r>
        <w:t>Midwives</w:t>
      </w:r>
    </w:p>
    <w:p w:rsidR="008B7C2A" w:rsidRDefault="008B7C2A" w:rsidP="008B7C2A">
      <w:r>
        <w:t>Nurse Practitioners</w:t>
      </w:r>
    </w:p>
    <w:p w:rsidR="008B7C2A" w:rsidRDefault="008B7C2A" w:rsidP="008B7C2A">
      <w:r>
        <w:t>Occupational Therapists</w:t>
      </w:r>
    </w:p>
    <w:p w:rsidR="008B7C2A" w:rsidRDefault="008B7C2A" w:rsidP="008B7C2A">
      <w:r>
        <w:lastRenderedPageBreak/>
        <w:t>Optometrists</w:t>
      </w:r>
    </w:p>
    <w:p w:rsidR="008B7C2A" w:rsidRDefault="008B7C2A" w:rsidP="008B7C2A">
      <w:r>
        <w:t>Orthoptists</w:t>
      </w:r>
    </w:p>
    <w:p w:rsidR="008B7C2A" w:rsidRDefault="008B7C2A" w:rsidP="008B7C2A">
      <w:r>
        <w:t>Osteopaths</w:t>
      </w:r>
    </w:p>
    <w:p w:rsidR="008B7C2A" w:rsidRDefault="008B7C2A" w:rsidP="008B7C2A">
      <w:r>
        <w:t>Physiotherapists</w:t>
      </w:r>
    </w:p>
    <w:p w:rsidR="008B7C2A" w:rsidRDefault="008B7C2A" w:rsidP="008B7C2A">
      <w:r>
        <w:t>Podiatrists</w:t>
      </w:r>
    </w:p>
    <w:p w:rsidR="008B7C2A" w:rsidRDefault="008B7C2A" w:rsidP="008B7C2A">
      <w:r>
        <w:t>Psychologists</w:t>
      </w:r>
    </w:p>
    <w:p w:rsidR="008B7C2A" w:rsidRDefault="008B7C2A" w:rsidP="008B7C2A">
      <w:r>
        <w:t>Social Workers</w:t>
      </w:r>
    </w:p>
    <w:p w:rsidR="008B7C2A" w:rsidRDefault="008B7C2A" w:rsidP="008B7C2A">
      <w:r>
        <w:t>Speech Pathologists</w:t>
      </w:r>
    </w:p>
    <w:p w:rsidR="008B7C2A" w:rsidRDefault="008B7C2A" w:rsidP="008B7C2A">
      <w:r>
        <w:t>Other Medical Practitioners</w:t>
      </w:r>
    </w:p>
    <w:p w:rsidR="008B7C2A" w:rsidRDefault="008B7C2A" w:rsidP="00993DBB">
      <w:pPr>
        <w:rPr>
          <w:rStyle w:val="BookTitle"/>
        </w:rPr>
        <w:sectPr w:rsidR="008B7C2A" w:rsidSect="00206EEF">
          <w:type w:val="continuous"/>
          <w:pgSz w:w="11906" w:h="16838"/>
          <w:pgMar w:top="3261" w:right="720" w:bottom="720" w:left="720" w:header="708" w:footer="708" w:gutter="0"/>
          <w:cols w:num="3" w:space="708"/>
          <w:docGrid w:linePitch="360"/>
        </w:sectPr>
      </w:pPr>
    </w:p>
    <w:p w:rsidR="0005251A" w:rsidRDefault="0038605E" w:rsidP="00993DBB">
      <w:pPr>
        <w:rPr>
          <w:rStyle w:val="BookTitle"/>
        </w:rPr>
      </w:pPr>
      <w:r w:rsidRPr="00256D9C">
        <w:t xml:space="preserve">Dental practitioners in </w:t>
      </w:r>
      <w:r w:rsidRPr="00256D9C">
        <w:br/>
        <w:t xml:space="preserve">the practice of oral and </w:t>
      </w:r>
      <w:r w:rsidRPr="00256D9C">
        <w:br/>
        <w:t>maxillofacial surgery</w:t>
      </w:r>
    </w:p>
    <w:p w:rsidR="00993DBB" w:rsidRPr="0005251A" w:rsidRDefault="008F315F" w:rsidP="00993DBB">
      <w:pPr>
        <w:rPr>
          <w:rFonts w:asciiTheme="minorHAnsi" w:hAnsiTheme="minorHAnsi"/>
          <w:b/>
          <w:bCs/>
          <w:i/>
          <w:iCs/>
          <w:spacing w:val="5"/>
          <w:sz w:val="22"/>
        </w:rPr>
      </w:pPr>
      <w:r>
        <w:rPr>
          <w:rStyle w:val="BookTitle"/>
        </w:rPr>
        <w:pict w14:anchorId="60381DE6">
          <v:rect id="_x0000_i1027" style="width:500.25pt;height:1.35pt" o:hrpct="990" o:hralign="center" o:hrstd="t" o:hr="t" fillcolor="#a0a0a0" stroked="f"/>
        </w:pict>
      </w:r>
    </w:p>
    <w:p w:rsidR="002A211C" w:rsidRDefault="008B3B6B" w:rsidP="00BA129D">
      <w:pPr>
        <w:pStyle w:val="Heading2"/>
      </w:pPr>
      <w:r w:rsidRPr="000E3380">
        <w:t>Frequently asked questions:</w:t>
      </w:r>
    </w:p>
    <w:p w:rsidR="00F22477" w:rsidRDefault="00EE35EF" w:rsidP="00F22477">
      <w:pPr>
        <w:pStyle w:val="Heading3"/>
        <w:rPr>
          <w:b/>
        </w:rPr>
      </w:pPr>
      <w:r>
        <w:rPr>
          <w:rFonts w:ascii="Arial" w:eastAsiaTheme="minorEastAsia" w:hAnsi="Arial" w:cstheme="minorBidi"/>
          <w:b/>
          <w:i/>
          <w:noProof/>
          <w:color w:val="001A70" w:themeColor="text2"/>
          <w:sz w:val="22"/>
          <w:szCs w:val="21"/>
        </w:rPr>
        <w:t xml:space="preserve">Must </w:t>
      </w:r>
      <w:r w:rsidR="00945FCC">
        <w:rPr>
          <w:rFonts w:ascii="Arial" w:eastAsiaTheme="minorEastAsia" w:hAnsi="Arial" w:cstheme="minorBidi"/>
          <w:b/>
          <w:i/>
          <w:noProof/>
          <w:color w:val="001A70" w:themeColor="text2"/>
          <w:sz w:val="22"/>
          <w:szCs w:val="21"/>
        </w:rPr>
        <w:t xml:space="preserve">I have seen my GP </w:t>
      </w:r>
      <w:r w:rsidR="00F22477" w:rsidRPr="004A68CB">
        <w:rPr>
          <w:rFonts w:ascii="Arial" w:eastAsiaTheme="minorEastAsia" w:hAnsi="Arial" w:cstheme="minorBidi"/>
          <w:b/>
          <w:i/>
          <w:noProof/>
          <w:color w:val="001A70" w:themeColor="text2"/>
          <w:sz w:val="22"/>
          <w:szCs w:val="21"/>
        </w:rPr>
        <w:t>in the last 12 months</w:t>
      </w:r>
      <w:r w:rsidR="00F22477" w:rsidRPr="004A68CB">
        <w:rPr>
          <w:b/>
        </w:rPr>
        <w:t>?</w:t>
      </w:r>
    </w:p>
    <w:p w:rsidR="00E12492" w:rsidRPr="00E12492" w:rsidRDefault="00E12492" w:rsidP="00E12492">
      <w:pPr>
        <w:spacing w:after="0"/>
      </w:pPr>
    </w:p>
    <w:p w:rsidR="00F22477" w:rsidRDefault="00945FCC" w:rsidP="00945FCC">
      <w:r>
        <w:t xml:space="preserve">Yes. </w:t>
      </w:r>
      <w:r w:rsidR="00F22477">
        <w:t xml:space="preserve">From 20 July 2020, GPs and OMPs working in general practice must ensure that they have an </w:t>
      </w:r>
      <w:r w:rsidR="004A68CB">
        <w:t>e</w:t>
      </w:r>
      <w:r>
        <w:t xml:space="preserve">stablished clinical </w:t>
      </w:r>
      <w:r w:rsidR="00F22477">
        <w:t>relationship with their telehealth patients, or record how their patients qualify for any exemptions to this requirement.</w:t>
      </w:r>
    </w:p>
    <w:p w:rsidR="00945FCC" w:rsidRDefault="00945FCC" w:rsidP="00945FCC">
      <w:r>
        <w:t>Only GPs and OMPs are required to have an e</w:t>
      </w:r>
      <w:r w:rsidR="008F153E">
        <w:t xml:space="preserve">stablished </w:t>
      </w:r>
      <w:r>
        <w:t xml:space="preserve">clinical relationship with their patient in order to provide </w:t>
      </w:r>
      <w:r>
        <w:br/>
        <w:t xml:space="preserve">COVID-19 </w:t>
      </w:r>
      <w:r w:rsidR="00AA7C10">
        <w:t>telehealth</w:t>
      </w:r>
      <w:r>
        <w:t xml:space="preserve"> services. </w:t>
      </w:r>
      <w:r w:rsidR="00EE35EF">
        <w:t>This requirement does not apply to specialists and allied health practitioners.</w:t>
      </w:r>
    </w:p>
    <w:p w:rsidR="005E7CF7" w:rsidRDefault="005E7CF7" w:rsidP="000E421B">
      <w:pPr>
        <w:spacing w:before="240"/>
        <w:rPr>
          <w:b/>
          <w:i/>
          <w:noProof/>
          <w:sz w:val="22"/>
        </w:rPr>
      </w:pPr>
      <w:r w:rsidRPr="000E421B">
        <w:rPr>
          <w:b/>
          <w:i/>
          <w:noProof/>
          <w:color w:val="001A70" w:themeColor="text2"/>
          <w:sz w:val="22"/>
        </w:rPr>
        <w:t>Can I be charged a fee for this service?</w:t>
      </w:r>
    </w:p>
    <w:p w:rsidR="00E23722" w:rsidRPr="00256D9C" w:rsidRDefault="00E23722" w:rsidP="00E23722">
      <w:pPr>
        <w:spacing w:after="120" w:line="276" w:lineRule="auto"/>
        <w:rPr>
          <w:szCs w:val="20"/>
          <w:lang w:eastAsia="en-AU"/>
        </w:rPr>
      </w:pPr>
      <w:r w:rsidRPr="00256D9C">
        <w:rPr>
          <w:szCs w:val="20"/>
          <w:lang w:eastAsia="en-AU"/>
        </w:rPr>
        <w:t>Bulk billing is at the discretion of all providers, so long as informed financial consent is obtained prior to the provision of the service.</w:t>
      </w:r>
    </w:p>
    <w:p w:rsidR="00FA1EE8" w:rsidRDefault="00616AE6" w:rsidP="00E12492">
      <w:r w:rsidRPr="00256D9C">
        <w:t xml:space="preserve">Providers are encouraged to bulk bill their patients, and GPs/OMPs receive an additional incentive payment for bulk billed services provided to </w:t>
      </w:r>
      <w:r w:rsidR="000B4FF3" w:rsidRPr="00256D9C">
        <w:t>Commonwealth concession card holder</w:t>
      </w:r>
      <w:r w:rsidR="0065082B" w:rsidRPr="00256D9C">
        <w:t xml:space="preserve"> </w:t>
      </w:r>
      <w:r w:rsidRPr="00256D9C">
        <w:t xml:space="preserve">and </w:t>
      </w:r>
      <w:r w:rsidR="000B4FF3" w:rsidRPr="00256D9C">
        <w:t>patient</w:t>
      </w:r>
      <w:r w:rsidRPr="00256D9C">
        <w:t>s</w:t>
      </w:r>
      <w:r w:rsidR="000B4FF3" w:rsidRPr="00256D9C">
        <w:t xml:space="preserve"> </w:t>
      </w:r>
      <w:r w:rsidR="0065082B" w:rsidRPr="00256D9C">
        <w:t xml:space="preserve">under 16 years </w:t>
      </w:r>
      <w:r w:rsidRPr="00256D9C">
        <w:t>of age.</w:t>
      </w:r>
      <w:r w:rsidR="00945FCC">
        <w:t xml:space="preserve"> </w:t>
      </w:r>
      <w:r w:rsidR="008C196C">
        <w:t xml:space="preserve"> </w:t>
      </w:r>
    </w:p>
    <w:p w:rsidR="005E7CF7" w:rsidRDefault="009B2389" w:rsidP="000E421B">
      <w:pPr>
        <w:spacing w:before="240"/>
        <w:rPr>
          <w:b/>
          <w:i/>
          <w:noProof/>
          <w:sz w:val="22"/>
        </w:rPr>
      </w:pPr>
      <w:r>
        <w:rPr>
          <w:b/>
          <w:i/>
          <w:noProof/>
          <w:color w:val="001A70" w:themeColor="text2"/>
          <w:sz w:val="22"/>
        </w:rPr>
        <w:t xml:space="preserve">Okay, </w:t>
      </w:r>
      <w:r w:rsidR="00E940F5">
        <w:rPr>
          <w:b/>
          <w:i/>
          <w:noProof/>
          <w:color w:val="001A70" w:themeColor="text2"/>
          <w:sz w:val="22"/>
        </w:rPr>
        <w:t>h</w:t>
      </w:r>
      <w:r w:rsidR="006C03F7" w:rsidRPr="000E421B">
        <w:rPr>
          <w:b/>
          <w:i/>
          <w:noProof/>
          <w:color w:val="001A70" w:themeColor="text2"/>
          <w:sz w:val="22"/>
        </w:rPr>
        <w:t>ow much can I be charged?</w:t>
      </w:r>
    </w:p>
    <w:p w:rsidR="00E12492" w:rsidRDefault="006C03F7" w:rsidP="00EF6542">
      <w:pPr>
        <w:spacing w:before="240"/>
      </w:pPr>
      <w:r w:rsidRPr="00D465BE">
        <w:t>It depends</w:t>
      </w:r>
      <w:r w:rsidR="0065082B">
        <w:t>.</w:t>
      </w:r>
      <w:r w:rsidR="00FA1EE8" w:rsidRPr="00FA1EE8">
        <w:t xml:space="preserve"> </w:t>
      </w:r>
      <w:r w:rsidR="0065082B">
        <w:t>While</w:t>
      </w:r>
      <w:r w:rsidR="00FA1EE8">
        <w:t xml:space="preserve"> health professionals are encouraged to bulk bill the telehealth items, they </w:t>
      </w:r>
      <w:r w:rsidRPr="000E421B">
        <w:t>are free to set their own value on their services</w:t>
      </w:r>
      <w:r w:rsidR="00FA1EE8">
        <w:t xml:space="preserve">. </w:t>
      </w:r>
      <w:r w:rsidR="00FA1EE8" w:rsidRPr="00D465BE">
        <w:t>T</w:t>
      </w:r>
      <w:r w:rsidRPr="000E421B">
        <w:t>he actual fee charged is</w:t>
      </w:r>
      <w:r w:rsidR="00FA1EE8" w:rsidRPr="00D465BE">
        <w:t xml:space="preserve"> a matter between doctor and</w:t>
      </w:r>
      <w:r w:rsidRPr="000E421B">
        <w:t xml:space="preserve"> patient. Before </w:t>
      </w:r>
      <w:r w:rsidRPr="00D465BE">
        <w:t xml:space="preserve">your </w:t>
      </w:r>
      <w:r w:rsidR="009B2389" w:rsidRPr="00D465BE">
        <w:t>appointment</w:t>
      </w:r>
      <w:r w:rsidRPr="00E95ECA">
        <w:t>,</w:t>
      </w:r>
      <w:r w:rsidR="00E940F5">
        <w:t xml:space="preserve"> </w:t>
      </w:r>
      <w:r w:rsidRPr="000E421B">
        <w:t>it is important to discuss</w:t>
      </w:r>
      <w:r w:rsidR="00FA1EE8">
        <w:t xml:space="preserve"> and agree</w:t>
      </w:r>
      <w:r w:rsidR="00FA1EE8" w:rsidRPr="00D465BE">
        <w:t xml:space="preserve"> if</w:t>
      </w:r>
      <w:r w:rsidRPr="000E421B">
        <w:t xml:space="preserve"> you</w:t>
      </w:r>
      <w:r w:rsidR="009B2389" w:rsidRPr="00D465BE">
        <w:t xml:space="preserve"> will be charged a fee</w:t>
      </w:r>
      <w:r w:rsidR="00EE35EF">
        <w:t>;</w:t>
      </w:r>
      <w:r>
        <w:t xml:space="preserve"> </w:t>
      </w:r>
      <w:r w:rsidR="00FA1EE8">
        <w:t>t</w:t>
      </w:r>
      <w:r>
        <w:t>his is known as ‘informed financial consent’.</w:t>
      </w:r>
      <w:r w:rsidRPr="00D465BE">
        <w:t xml:space="preserve"> </w:t>
      </w:r>
    </w:p>
    <w:p w:rsidR="00807B42" w:rsidRPr="00EF6542" w:rsidRDefault="00807B42" w:rsidP="00EF6542">
      <w:pPr>
        <w:spacing w:before="240"/>
        <w:rPr>
          <w:b/>
          <w:i/>
          <w:noProof/>
          <w:sz w:val="22"/>
        </w:rPr>
      </w:pPr>
      <w:r w:rsidRPr="00EF6542">
        <w:rPr>
          <w:b/>
          <w:i/>
          <w:noProof/>
          <w:color w:val="001A70" w:themeColor="text2"/>
          <w:sz w:val="22"/>
        </w:rPr>
        <w:t>Who is a concession card holder?</w:t>
      </w:r>
    </w:p>
    <w:p w:rsidR="00561187" w:rsidRDefault="00807B42" w:rsidP="00E12492">
      <w:r w:rsidRPr="000E421B">
        <w:t xml:space="preserve">A concession </w:t>
      </w:r>
      <w:r w:rsidR="00395279" w:rsidRPr="00D465BE">
        <w:t>card holder is someone with</w:t>
      </w:r>
      <w:r w:rsidRPr="000E421B">
        <w:t xml:space="preserve"> </w:t>
      </w:r>
      <w:r w:rsidR="00B172DB" w:rsidRPr="000E421B">
        <w:t xml:space="preserve">current, </w:t>
      </w:r>
      <w:r w:rsidR="00561187">
        <w:t>C</w:t>
      </w:r>
      <w:r w:rsidR="00B172DB" w:rsidRPr="000E421B">
        <w:t>ommonwealth assigned concession card</w:t>
      </w:r>
      <w:r w:rsidR="00864296" w:rsidRPr="00D465BE">
        <w:t>,</w:t>
      </w:r>
      <w:r w:rsidR="00395279" w:rsidRPr="00D465BE">
        <w:t xml:space="preserve"> </w:t>
      </w:r>
      <w:r w:rsidR="00B172DB" w:rsidRPr="00E95ECA">
        <w:t xml:space="preserve">further information </w:t>
      </w:r>
      <w:r w:rsidR="00B172DB" w:rsidRPr="004B1111">
        <w:t>on</w:t>
      </w:r>
      <w:r w:rsidR="00B172DB">
        <w:t xml:space="preserve"> concession card</w:t>
      </w:r>
      <w:r w:rsidR="00864296">
        <w:t>s</w:t>
      </w:r>
      <w:r w:rsidR="00B172DB">
        <w:t xml:space="preserve"> can be found here: </w:t>
      </w:r>
    </w:p>
    <w:p w:rsidR="00561187" w:rsidRDefault="008F315F" w:rsidP="000E421B">
      <w:pPr>
        <w:pStyle w:val="ListParagraph"/>
        <w:ind w:left="360"/>
      </w:pPr>
      <w:hyperlink r:id="rId18" w:history="1">
        <w:r w:rsidR="00561187" w:rsidRPr="00395F36">
          <w:rPr>
            <w:rStyle w:val="Hyperlink"/>
          </w:rPr>
          <w:t>https://www.servicesaustralia.gov.au/individuals/subjects/concession-and-health-care-cards</w:t>
        </w:r>
      </w:hyperlink>
      <w:r w:rsidR="00561187">
        <w:t xml:space="preserve"> </w:t>
      </w:r>
      <w:r w:rsidR="00B172DB" w:rsidRPr="00D465BE">
        <w:t xml:space="preserve"> </w:t>
      </w:r>
    </w:p>
    <w:p w:rsidR="00756644" w:rsidRPr="00993DBB" w:rsidRDefault="00756644"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W</w:t>
      </w:r>
      <w:r w:rsidR="00FA1EE8">
        <w:rPr>
          <w:rFonts w:ascii="Arial" w:eastAsiaTheme="minorEastAsia" w:hAnsi="Arial" w:cstheme="minorBidi"/>
          <w:b/>
          <w:i/>
          <w:noProof/>
          <w:color w:val="001A70" w:themeColor="text2"/>
          <w:sz w:val="22"/>
          <w:szCs w:val="21"/>
        </w:rPr>
        <w:t>hat if I am bulk billed for the service</w:t>
      </w:r>
      <w:r w:rsidRPr="00993DBB">
        <w:rPr>
          <w:rFonts w:ascii="Arial" w:eastAsiaTheme="minorEastAsia" w:hAnsi="Arial" w:cstheme="minorBidi"/>
          <w:b/>
          <w:i/>
          <w:noProof/>
          <w:color w:val="001A70" w:themeColor="text2"/>
          <w:sz w:val="22"/>
          <w:szCs w:val="21"/>
        </w:rPr>
        <w:t>?</w:t>
      </w:r>
    </w:p>
    <w:p w:rsidR="00756644" w:rsidRPr="004A68CB" w:rsidRDefault="00FA1EE8" w:rsidP="00E12492">
      <w:r>
        <w:t>If your service is bulk billed</w:t>
      </w:r>
      <w:r w:rsidR="009B2389">
        <w:t xml:space="preserve"> (</w:t>
      </w:r>
      <w:r w:rsidR="009B2389" w:rsidRPr="00756644">
        <w:t xml:space="preserve">meaning </w:t>
      </w:r>
      <w:r w:rsidR="004B1111">
        <w:t>you</w:t>
      </w:r>
      <w:r w:rsidR="009B2389" w:rsidRPr="00756644">
        <w:t xml:space="preserve"> will not have</w:t>
      </w:r>
      <w:r w:rsidR="00E940F5">
        <w:t xml:space="preserve"> an out of pocket cost for the service</w:t>
      </w:r>
      <w:r w:rsidR="009B2389">
        <w:t>)</w:t>
      </w:r>
      <w:r>
        <w:t>, y</w:t>
      </w:r>
      <w:r w:rsidR="00003F4E">
        <w:t>ou</w:t>
      </w:r>
      <w:r w:rsidR="00756644" w:rsidRPr="00756644">
        <w:t xml:space="preserve"> will need to as</w:t>
      </w:r>
      <w:r w:rsidR="00003F4E">
        <w:t>sign the Medicare benefit you would receive to your</w:t>
      </w:r>
      <w:r w:rsidR="00756644" w:rsidRPr="00756644">
        <w:t xml:space="preserve"> treating health professional</w:t>
      </w:r>
      <w:r w:rsidR="00003F4E">
        <w:t>.</w:t>
      </w:r>
      <w:r w:rsidR="00EF6542">
        <w:t xml:space="preserve"> </w:t>
      </w:r>
      <w:r w:rsidR="00EF6542" w:rsidRPr="004A68CB">
        <w:t>This means there is no cost to the patient,</w:t>
      </w:r>
    </w:p>
    <w:p w:rsidR="00756644" w:rsidRPr="00993DBB" w:rsidRDefault="000E3380"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lastRenderedPageBreak/>
        <w:t xml:space="preserve">What </w:t>
      </w:r>
      <w:r w:rsidR="00EE0B6F" w:rsidRPr="00993DBB">
        <w:rPr>
          <w:rFonts w:ascii="Arial" w:eastAsiaTheme="minorEastAsia" w:hAnsi="Arial" w:cstheme="minorBidi"/>
          <w:b/>
          <w:i/>
          <w:noProof/>
          <w:color w:val="001A70" w:themeColor="text2"/>
          <w:sz w:val="22"/>
          <w:szCs w:val="21"/>
        </w:rPr>
        <w:t>is</w:t>
      </w:r>
      <w:r w:rsidRPr="00993DBB">
        <w:rPr>
          <w:rFonts w:ascii="Arial" w:eastAsiaTheme="minorEastAsia" w:hAnsi="Arial" w:cstheme="minorBidi"/>
          <w:b/>
          <w:i/>
          <w:noProof/>
          <w:color w:val="001A70" w:themeColor="text2"/>
          <w:sz w:val="22"/>
          <w:szCs w:val="21"/>
        </w:rPr>
        <w:t xml:space="preserve"> meant by ‘assignment of benefit’ and how do I assign to my provider</w:t>
      </w:r>
      <w:r w:rsidR="00756644" w:rsidRPr="00993DBB">
        <w:rPr>
          <w:rFonts w:ascii="Arial" w:eastAsiaTheme="minorEastAsia" w:hAnsi="Arial" w:cstheme="minorBidi"/>
          <w:b/>
          <w:i/>
          <w:noProof/>
          <w:color w:val="001A70" w:themeColor="text2"/>
          <w:sz w:val="22"/>
          <w:szCs w:val="21"/>
        </w:rPr>
        <w:t>?</w:t>
      </w:r>
    </w:p>
    <w:p w:rsidR="000E3380" w:rsidRPr="000E3380" w:rsidRDefault="000E3380" w:rsidP="00E12492">
      <w:r w:rsidRPr="000E3380">
        <w:t>When a bulk billed service is being provided, you nee</w:t>
      </w:r>
      <w:r w:rsidR="00C732EE">
        <w:t xml:space="preserve">d to agree that </w:t>
      </w:r>
      <w:r w:rsidR="003E64C0">
        <w:t>your M</w:t>
      </w:r>
      <w:r w:rsidRPr="000E3380">
        <w:t>edicare rebate bei</w:t>
      </w:r>
      <w:r w:rsidR="003E64C0">
        <w:t>ng paid directly to your health</w:t>
      </w:r>
      <w:r w:rsidR="00BA129D">
        <w:t>care provider. T</w:t>
      </w:r>
      <w:r w:rsidRPr="000E3380">
        <w:t xml:space="preserve">his is </w:t>
      </w:r>
      <w:r w:rsidR="00C732EE" w:rsidRPr="000E3380">
        <w:t>known</w:t>
      </w:r>
      <w:r w:rsidRPr="000E3380">
        <w:t xml:space="preserve"> as </w:t>
      </w:r>
      <w:r>
        <w:t>‘</w:t>
      </w:r>
      <w:r w:rsidRPr="000E3380">
        <w:t>assignment of benefit</w:t>
      </w:r>
      <w:r>
        <w:t>’</w:t>
      </w:r>
      <w:r w:rsidR="00BA129D">
        <w:t>.</w:t>
      </w:r>
    </w:p>
    <w:p w:rsidR="00756644" w:rsidRPr="00756644" w:rsidRDefault="00756644" w:rsidP="00E12492">
      <w:r w:rsidRPr="00756644">
        <w:t xml:space="preserve">A patient assigns their right to a Medicare benefit by signing a completed assignment of benefit form, which is available here: </w:t>
      </w:r>
      <w:hyperlink r:id="rId19" w:history="1">
        <w:r w:rsidRPr="000E421B">
          <w:rPr>
            <w:rStyle w:val="Hyperlink"/>
          </w:rPr>
          <w:t>https://www.servicesaustralia.gov.au/organisations/health-professionals/forms/db020</w:t>
        </w:r>
      </w:hyperlink>
    </w:p>
    <w:p w:rsidR="00756644" w:rsidRDefault="00003F4E" w:rsidP="00E12492">
      <w:r>
        <w:t xml:space="preserve">For the temporary </w:t>
      </w:r>
      <w:r w:rsidR="00945FCC">
        <w:t xml:space="preserve">telehealth </w:t>
      </w:r>
      <w:r>
        <w:t>items</w:t>
      </w:r>
      <w:r w:rsidR="00EE0B6F">
        <w:t xml:space="preserve"> only</w:t>
      </w:r>
      <w:r w:rsidR="00756644" w:rsidRPr="00756644">
        <w:t>, it is acceptable for your treating health professional to document your agreement to assign your benefit in their clinical notes during the consultation</w:t>
      </w:r>
      <w:r>
        <w:t xml:space="preserve"> and a form is not required</w:t>
      </w:r>
      <w:r w:rsidR="00756644" w:rsidRPr="00756644">
        <w:t xml:space="preserve">. </w:t>
      </w:r>
    </w:p>
    <w:p w:rsidR="004E0C9C" w:rsidRPr="008805B9" w:rsidRDefault="004E0C9C" w:rsidP="000E421B">
      <w:pPr>
        <w:pStyle w:val="Heading3"/>
        <w:keepLines w:val="0"/>
        <w:spacing w:before="240" w:after="120"/>
        <w:rPr>
          <w:b/>
          <w:i/>
          <w:noProof/>
          <w:color w:val="001A70" w:themeColor="text2"/>
          <w:sz w:val="22"/>
        </w:rPr>
      </w:pPr>
      <w:r w:rsidRPr="000E421B">
        <w:rPr>
          <w:rFonts w:ascii="Arial" w:eastAsiaTheme="minorEastAsia" w:hAnsi="Arial" w:cstheme="minorBidi"/>
          <w:b/>
          <w:i/>
          <w:noProof/>
          <w:color w:val="001A70" w:themeColor="text2"/>
          <w:sz w:val="22"/>
          <w:szCs w:val="21"/>
        </w:rPr>
        <w:t>I have made an appointment to see my GP face to face, can I assign my</w:t>
      </w:r>
      <w:r w:rsidR="008805B9">
        <w:rPr>
          <w:rFonts w:ascii="Arial" w:eastAsiaTheme="minorEastAsia" w:hAnsi="Arial" w:cstheme="minorBidi"/>
          <w:b/>
          <w:i/>
          <w:noProof/>
          <w:color w:val="001A70" w:themeColor="text2"/>
          <w:sz w:val="22"/>
          <w:szCs w:val="21"/>
        </w:rPr>
        <w:t xml:space="preserve"> Medicare</w:t>
      </w:r>
      <w:r w:rsidRPr="000E421B">
        <w:rPr>
          <w:rFonts w:ascii="Arial" w:eastAsiaTheme="minorEastAsia" w:hAnsi="Arial" w:cstheme="minorBidi"/>
          <w:b/>
          <w:i/>
          <w:noProof/>
          <w:color w:val="001A70" w:themeColor="text2"/>
          <w:sz w:val="22"/>
          <w:szCs w:val="21"/>
        </w:rPr>
        <w:t xml:space="preserve"> benefit</w:t>
      </w:r>
      <w:r w:rsidR="00E95ECA">
        <w:rPr>
          <w:rFonts w:ascii="Arial" w:eastAsiaTheme="minorEastAsia" w:hAnsi="Arial" w:cstheme="minorBidi"/>
          <w:b/>
          <w:i/>
          <w:noProof/>
          <w:color w:val="001A70" w:themeColor="text2"/>
          <w:sz w:val="22"/>
          <w:szCs w:val="21"/>
        </w:rPr>
        <w:t xml:space="preserve"> to the GP</w:t>
      </w:r>
      <w:r w:rsidRPr="000E421B">
        <w:rPr>
          <w:rFonts w:ascii="Arial" w:eastAsiaTheme="minorEastAsia" w:hAnsi="Arial" w:cstheme="minorBidi"/>
          <w:b/>
          <w:i/>
          <w:noProof/>
          <w:color w:val="001A70" w:themeColor="text2"/>
          <w:sz w:val="22"/>
          <w:szCs w:val="21"/>
        </w:rPr>
        <w:t xml:space="preserve"> without a physical signature?</w:t>
      </w:r>
    </w:p>
    <w:p w:rsidR="004E0C9C" w:rsidRPr="008805B9" w:rsidRDefault="004E0C9C" w:rsidP="00E12492">
      <w:r w:rsidRPr="008805B9">
        <w:t>Yes,</w:t>
      </w:r>
      <w:r w:rsidR="008805B9">
        <w:t xml:space="preserve"> there is no need to handle paper or pens in a GP</w:t>
      </w:r>
      <w:r w:rsidR="000E421B">
        <w:t>’</w:t>
      </w:r>
      <w:r w:rsidR="008805B9">
        <w:t>s office for this purpose.</w:t>
      </w:r>
      <w:r w:rsidRPr="008805B9">
        <w:t xml:space="preserve"> </w:t>
      </w:r>
      <w:r w:rsidR="008805B9">
        <w:t>W</w:t>
      </w:r>
      <w:r w:rsidRPr="008805B9">
        <w:t xml:space="preserve">ith Medicare Easyclaim, a patient assigns their right to a Medicare benefit to the practitioner by pressing the OK or YES button on the EFTPOS terminal in the practice.  </w:t>
      </w:r>
    </w:p>
    <w:p w:rsidR="004E0C9C" w:rsidRPr="000E421B" w:rsidRDefault="004E0C9C" w:rsidP="00E12492">
      <w:r w:rsidRPr="00256D9C">
        <w:t>Up until 3</w:t>
      </w:r>
      <w:r w:rsidR="00945FCC" w:rsidRPr="00256D9C">
        <w:t>1 March 2021</w:t>
      </w:r>
      <w:r w:rsidRPr="00256D9C">
        <w:t xml:space="preserve">, </w:t>
      </w:r>
      <w:r w:rsidR="008805B9" w:rsidRPr="00256D9C">
        <w:t xml:space="preserve">the practice can </w:t>
      </w:r>
      <w:r w:rsidR="00945FCC" w:rsidRPr="00256D9C">
        <w:t xml:space="preserve">also </w:t>
      </w:r>
      <w:r w:rsidR="008805B9" w:rsidRPr="00256D9C">
        <w:t>assign your benefit on your behalf or the GP can note the assignment of benefit in their clinical notes during the consultation.</w:t>
      </w:r>
      <w:bookmarkStart w:id="2" w:name="_GoBack"/>
      <w:bookmarkEnd w:id="2"/>
      <w:r w:rsidR="008805B9">
        <w:t xml:space="preserve"> </w:t>
      </w:r>
      <w:r w:rsidRPr="008805B9">
        <w:t xml:space="preserve"> </w:t>
      </w:r>
    </w:p>
    <w:p w:rsidR="00561187" w:rsidRDefault="00561187">
      <w:pPr>
        <w:pStyle w:val="Heading3"/>
        <w:keepLines w:val="0"/>
        <w:spacing w:before="240" w:after="120"/>
        <w:rPr>
          <w:rFonts w:ascii="Arial" w:eastAsiaTheme="minorEastAsia" w:hAnsi="Arial" w:cstheme="minorBidi"/>
          <w:b/>
          <w:i/>
          <w:noProof/>
          <w:color w:val="001A70" w:themeColor="text2"/>
          <w:sz w:val="22"/>
          <w:szCs w:val="21"/>
        </w:rPr>
      </w:pPr>
      <w:r>
        <w:rPr>
          <w:rFonts w:ascii="Arial" w:eastAsiaTheme="minorEastAsia" w:hAnsi="Arial" w:cstheme="minorBidi"/>
          <w:b/>
          <w:i/>
          <w:noProof/>
          <w:color w:val="001A70" w:themeColor="text2"/>
          <w:sz w:val="22"/>
          <w:szCs w:val="21"/>
        </w:rPr>
        <w:t>What if I am asked to pay a co-payment or a fee to the healthcare provider in addition to being bulk billed?</w:t>
      </w:r>
    </w:p>
    <w:p w:rsidR="00561187" w:rsidRPr="000E421B" w:rsidRDefault="00561187" w:rsidP="00E12492">
      <w:r>
        <w:t xml:space="preserve">If a service is bulk billed, the healthcare provider accepts the Medicare rebate as full payment; you cannot be charged any other costs such as booking, administration or record keeping fees. </w:t>
      </w:r>
    </w:p>
    <w:p w:rsidR="00561187" w:rsidRPr="00561187" w:rsidRDefault="00756644">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Can I be prescribed medication via telehealth?</w:t>
      </w:r>
    </w:p>
    <w:p w:rsidR="00756644" w:rsidRPr="00E12492" w:rsidRDefault="00756644" w:rsidP="00E12492">
      <w:pPr>
        <w:rPr>
          <w:rFonts w:cs="Arial"/>
        </w:rPr>
      </w:pPr>
      <w:r w:rsidRPr="00756644">
        <w:t xml:space="preserve">Yes, </w:t>
      </w:r>
      <w:r w:rsidRPr="00E12492">
        <w:rPr>
          <w:rFonts w:cs="Arial"/>
        </w:rPr>
        <w:t>the medical practitioner can mail or email a prescription to you or your pharmacist</w:t>
      </w:r>
      <w:r w:rsidR="00BA129D" w:rsidRPr="00E12492">
        <w:rPr>
          <w:rFonts w:cs="Arial"/>
        </w:rPr>
        <w:t>.</w:t>
      </w:r>
    </w:p>
    <w:p w:rsidR="00003F4E" w:rsidRPr="00993DBB" w:rsidRDefault="00003F4E"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Can my treating health professional order me a test?</w:t>
      </w:r>
      <w:r w:rsidR="00EE0B6F" w:rsidRPr="00993DBB">
        <w:rPr>
          <w:rFonts w:ascii="Arial" w:eastAsiaTheme="minorEastAsia" w:hAnsi="Arial" w:cstheme="minorBidi"/>
          <w:b/>
          <w:i/>
          <w:noProof/>
          <w:color w:val="001A70" w:themeColor="text2"/>
          <w:sz w:val="22"/>
          <w:szCs w:val="21"/>
        </w:rPr>
        <w:t xml:space="preserve"> (e.g p</w:t>
      </w:r>
      <w:r w:rsidRPr="00993DBB">
        <w:rPr>
          <w:rFonts w:ascii="Arial" w:eastAsiaTheme="minorEastAsia" w:hAnsi="Arial" w:cstheme="minorBidi"/>
          <w:b/>
          <w:i/>
          <w:noProof/>
          <w:color w:val="001A70" w:themeColor="text2"/>
          <w:sz w:val="22"/>
          <w:szCs w:val="21"/>
        </w:rPr>
        <w:t>athology test)</w:t>
      </w:r>
    </w:p>
    <w:p w:rsidR="00003F4E" w:rsidRPr="00E12492" w:rsidRDefault="00003F4E" w:rsidP="00E12492">
      <w:pPr>
        <w:rPr>
          <w:rFonts w:cs="Arial"/>
        </w:rPr>
      </w:pPr>
      <w:r w:rsidRPr="00E12492">
        <w:rPr>
          <w:rFonts w:cs="Arial"/>
        </w:rPr>
        <w:t xml:space="preserve">Yes. There is no difference between a video and face-to-face consultation in terms of ordering pathology and diagnostic imaging tests. In practice, the arrangements for these tests could vary between email, fax, or mail. </w:t>
      </w:r>
    </w:p>
    <w:p w:rsidR="008B3B6B" w:rsidRPr="00993DBB" w:rsidRDefault="008B3B6B"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Do I have a choice if my practitioner suggests a video consultation?</w:t>
      </w:r>
    </w:p>
    <w:p w:rsidR="00200594" w:rsidRPr="00756644" w:rsidRDefault="008B3B6B" w:rsidP="00E12492">
      <w:r w:rsidRPr="00756644">
        <w:t>Yes. If a video consultation is suggested and you do not have the nece</w:t>
      </w:r>
      <w:r w:rsidR="00F05B7B">
        <w:t>ssary technology, you may request</w:t>
      </w:r>
      <w:r w:rsidRPr="00756644">
        <w:t xml:space="preserve"> t</w:t>
      </w:r>
      <w:r w:rsidR="00756644" w:rsidRPr="00756644">
        <w:t>o have the service by telephone</w:t>
      </w:r>
      <w:r w:rsidR="00F05B7B">
        <w:t>. You</w:t>
      </w:r>
      <w:r w:rsidR="004E7B75">
        <w:t xml:space="preserve"> or your </w:t>
      </w:r>
      <w:r w:rsidR="00F05B7B">
        <w:t>health professional may also prefer a face</w:t>
      </w:r>
      <w:r w:rsidR="0024773E">
        <w:t>-to-</w:t>
      </w:r>
      <w:r w:rsidR="00F05B7B">
        <w:t xml:space="preserve">face consultation. </w:t>
      </w:r>
    </w:p>
    <w:p w:rsidR="008B3B6B" w:rsidRPr="00993DBB" w:rsidRDefault="008B3B6B"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Where</w:t>
      </w:r>
      <w:r w:rsidR="00094B76" w:rsidRPr="00993DBB">
        <w:rPr>
          <w:rFonts w:ascii="Arial" w:eastAsiaTheme="minorEastAsia" w:hAnsi="Arial" w:cstheme="minorBidi"/>
          <w:b/>
          <w:i/>
          <w:noProof/>
          <w:color w:val="001A70" w:themeColor="text2"/>
          <w:sz w:val="22"/>
          <w:szCs w:val="21"/>
        </w:rPr>
        <w:t xml:space="preserve"> can I have a telehealth consultation</w:t>
      </w:r>
      <w:r w:rsidRPr="00993DBB">
        <w:rPr>
          <w:rFonts w:ascii="Arial" w:eastAsiaTheme="minorEastAsia" w:hAnsi="Arial" w:cstheme="minorBidi"/>
          <w:b/>
          <w:i/>
          <w:noProof/>
          <w:color w:val="001A70" w:themeColor="text2"/>
          <w:sz w:val="22"/>
          <w:szCs w:val="21"/>
        </w:rPr>
        <w:t>?</w:t>
      </w:r>
    </w:p>
    <w:p w:rsidR="008B3B6B" w:rsidRPr="00756644" w:rsidRDefault="008B3B6B" w:rsidP="00E12492">
      <w:r w:rsidRPr="00756644">
        <w:t>P</w:t>
      </w:r>
      <w:r w:rsidR="00094B76">
        <w:t>atients must be located</w:t>
      </w:r>
      <w:r w:rsidRPr="00756644">
        <w:t xml:space="preserve"> in Australia</w:t>
      </w:r>
      <w:r w:rsidR="00BA129D">
        <w:t>, eligible for M</w:t>
      </w:r>
      <w:r w:rsidR="00EE0B6F">
        <w:t>edicare</w:t>
      </w:r>
      <w:r w:rsidR="00756644" w:rsidRPr="00756644">
        <w:t xml:space="preserve"> and not be an admitted patient</w:t>
      </w:r>
      <w:r w:rsidR="00F05B7B">
        <w:t xml:space="preserve"> to a hospital.</w:t>
      </w:r>
    </w:p>
    <w:p w:rsidR="008B3B6B" w:rsidRPr="00993DBB" w:rsidRDefault="008B3B6B"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lastRenderedPageBreak/>
        <w:t>Can I choose who will be in the room with me when I have the video consultation?</w:t>
      </w:r>
    </w:p>
    <w:p w:rsidR="008B3B6B" w:rsidRPr="00756644" w:rsidRDefault="008B3B6B" w:rsidP="00E12492">
      <w:r w:rsidRPr="00756644">
        <w:t xml:space="preserve">Yes. Depending on your isolation requirements, you may have support from a friend or family member. This should be discussed with your </w:t>
      </w:r>
      <w:r w:rsidR="005E4B84" w:rsidRPr="00756644">
        <w:t>treating health professional</w:t>
      </w:r>
      <w:r w:rsidR="00F05B7B">
        <w:t>.</w:t>
      </w:r>
    </w:p>
    <w:p w:rsidR="008B3B6B" w:rsidRPr="00993DBB" w:rsidRDefault="008B3B6B"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Are there special privacy requirements for video consultations?</w:t>
      </w:r>
    </w:p>
    <w:p w:rsidR="00756644" w:rsidRDefault="008B3B6B" w:rsidP="00E12492">
      <w:r w:rsidRPr="00756644">
        <w:t>The same privacy requiremen</w:t>
      </w:r>
      <w:r w:rsidR="0024773E">
        <w:t>ts that apply to face-</w:t>
      </w:r>
      <w:r w:rsidRPr="00756644">
        <w:t>to</w:t>
      </w:r>
      <w:r w:rsidR="0024773E">
        <w:t>-</w:t>
      </w:r>
      <w:r w:rsidRPr="00756644">
        <w:t xml:space="preserve">face consultations will apply to video consultation/telephone consultations. Patients should discuss any concerns with their </w:t>
      </w:r>
      <w:r w:rsidR="005E4B84" w:rsidRPr="00756644">
        <w:t>treating health professional</w:t>
      </w:r>
      <w:r w:rsidR="00F05B7B">
        <w:t>.</w:t>
      </w:r>
    </w:p>
    <w:p w:rsidR="002A211C" w:rsidRPr="00993DBB" w:rsidRDefault="002A211C"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What if the video/phone connection drops out? Do I need to make another appointment?</w:t>
      </w:r>
    </w:p>
    <w:p w:rsidR="002A211C" w:rsidRDefault="002A211C" w:rsidP="00E12492">
      <w:pPr>
        <w:spacing w:after="0" w:line="240" w:lineRule="auto"/>
      </w:pPr>
      <w:r w:rsidRPr="002A211C">
        <w:t>No</w:t>
      </w:r>
      <w:r>
        <w:t>,</w:t>
      </w:r>
      <w:r w:rsidRPr="002A211C">
        <w:t xml:space="preserve"> it is the same service; once you have </w:t>
      </w:r>
      <w:r w:rsidR="00C732EE">
        <w:t>reconnected,</w:t>
      </w:r>
      <w:r w:rsidRPr="002A211C">
        <w:t xml:space="preserve"> you should continue the consultation as normal</w:t>
      </w:r>
      <w:r>
        <w:t>.</w:t>
      </w:r>
      <w:r w:rsidRPr="002A211C">
        <w:t xml:space="preserve"> </w:t>
      </w:r>
    </w:p>
    <w:p w:rsidR="008A6B50" w:rsidRPr="00993DBB" w:rsidRDefault="008A6B50"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Can I attend more than one consultation in a single day</w:t>
      </w:r>
      <w:r w:rsidR="00EE0B6F" w:rsidRPr="00993DBB">
        <w:rPr>
          <w:rFonts w:ascii="Arial" w:eastAsiaTheme="minorEastAsia" w:hAnsi="Arial" w:cstheme="minorBidi"/>
          <w:b/>
          <w:i/>
          <w:noProof/>
          <w:color w:val="001A70" w:themeColor="text2"/>
          <w:sz w:val="22"/>
          <w:szCs w:val="21"/>
        </w:rPr>
        <w:t xml:space="preserve"> and still be bulk billed</w:t>
      </w:r>
      <w:r w:rsidRPr="00993DBB">
        <w:rPr>
          <w:rFonts w:ascii="Arial" w:eastAsiaTheme="minorEastAsia" w:hAnsi="Arial" w:cstheme="minorBidi"/>
          <w:b/>
          <w:i/>
          <w:noProof/>
          <w:color w:val="001A70" w:themeColor="text2"/>
          <w:sz w:val="22"/>
          <w:szCs w:val="21"/>
        </w:rPr>
        <w:t xml:space="preserve">? </w:t>
      </w:r>
    </w:p>
    <w:p w:rsidR="008A6B50" w:rsidRPr="004E7B75" w:rsidRDefault="008A6B50" w:rsidP="004E7B75">
      <w:pPr>
        <w:pStyle w:val="PlainText"/>
        <w:rPr>
          <w:rFonts w:eastAsiaTheme="minorEastAsia"/>
        </w:rPr>
      </w:pPr>
      <w:r w:rsidRPr="004E7B75">
        <w:rPr>
          <w:rFonts w:ascii="Arial" w:eastAsiaTheme="minorEastAsia" w:hAnsi="Arial" w:cstheme="minorBidi"/>
          <w:sz w:val="20"/>
          <w:szCs w:val="21"/>
        </w:rPr>
        <w:t xml:space="preserve">Yes. </w:t>
      </w:r>
      <w:r w:rsidR="004E7B75" w:rsidRPr="004E7B75">
        <w:rPr>
          <w:rFonts w:ascii="Arial" w:eastAsiaTheme="minorEastAsia" w:hAnsi="Arial" w:cstheme="minorBidi"/>
          <w:sz w:val="20"/>
          <w:szCs w:val="21"/>
        </w:rPr>
        <w:t xml:space="preserve">You can attend multiple consultations on the same day and by the same medical practitioner. </w:t>
      </w:r>
      <w:r w:rsidR="004E7B75">
        <w:rPr>
          <w:rFonts w:ascii="Arial" w:eastAsiaTheme="minorEastAsia" w:hAnsi="Arial" w:cstheme="minorBidi"/>
          <w:sz w:val="20"/>
          <w:szCs w:val="21"/>
        </w:rPr>
        <w:t xml:space="preserve">However, </w:t>
      </w:r>
      <w:r w:rsidR="004E7B75" w:rsidRPr="004E7B75">
        <w:rPr>
          <w:rFonts w:ascii="Arial" w:eastAsiaTheme="minorEastAsia" w:hAnsi="Arial" w:cstheme="minorBidi"/>
          <w:sz w:val="20"/>
          <w:szCs w:val="21"/>
        </w:rPr>
        <w:t>if the multiple attendances are a continuation of the initial attendance (e.g. for the same health matter/s), it should be claimed as a single longer consultation. There are Medicare items for different consultation lengths, and it is the responsibility of your treating practitioner to choose the correct item to claim</w:t>
      </w:r>
      <w:r w:rsidRPr="004E7B75">
        <w:rPr>
          <w:rFonts w:eastAsiaTheme="minorEastAsia"/>
        </w:rPr>
        <w:t>. </w:t>
      </w:r>
    </w:p>
    <w:p w:rsidR="002A211C" w:rsidRPr="00993DBB" w:rsidRDefault="00C732EE"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I am</w:t>
      </w:r>
      <w:r w:rsidR="002A211C" w:rsidRPr="00993DBB">
        <w:rPr>
          <w:rFonts w:ascii="Arial" w:eastAsiaTheme="minorEastAsia" w:hAnsi="Arial" w:cstheme="minorBidi"/>
          <w:b/>
          <w:i/>
          <w:noProof/>
          <w:color w:val="001A70" w:themeColor="text2"/>
          <w:sz w:val="22"/>
          <w:szCs w:val="21"/>
        </w:rPr>
        <w:t xml:space="preserve"> not sure </w:t>
      </w:r>
      <w:r w:rsidRPr="00993DBB">
        <w:rPr>
          <w:rFonts w:ascii="Arial" w:eastAsiaTheme="minorEastAsia" w:hAnsi="Arial" w:cstheme="minorBidi"/>
          <w:b/>
          <w:i/>
          <w:noProof/>
          <w:color w:val="001A70" w:themeColor="text2"/>
          <w:sz w:val="22"/>
          <w:szCs w:val="21"/>
        </w:rPr>
        <w:t>I have</w:t>
      </w:r>
      <w:r w:rsidR="002A211C" w:rsidRPr="00993DBB">
        <w:rPr>
          <w:rFonts w:ascii="Arial" w:eastAsiaTheme="minorEastAsia" w:hAnsi="Arial" w:cstheme="minorBidi"/>
          <w:b/>
          <w:i/>
          <w:noProof/>
          <w:color w:val="001A70" w:themeColor="text2"/>
          <w:sz w:val="22"/>
          <w:szCs w:val="21"/>
        </w:rPr>
        <w:t xml:space="preserve"> received a quality service via telehealth. What can I do about this?</w:t>
      </w:r>
    </w:p>
    <w:p w:rsidR="006105F8" w:rsidRDefault="002A211C" w:rsidP="00E12492">
      <w:pPr>
        <w:spacing w:after="0" w:line="240" w:lineRule="auto"/>
      </w:pPr>
      <w:r w:rsidRPr="008A6B50">
        <w:t xml:space="preserve">If you </w:t>
      </w:r>
      <w:r w:rsidR="008A6B50" w:rsidRPr="008A6B50">
        <w:t>have not</w:t>
      </w:r>
      <w:r w:rsidRPr="008A6B50">
        <w:t xml:space="preserve"> received a satisfactory</w:t>
      </w:r>
      <w:r w:rsidR="008A6B50">
        <w:t xml:space="preserve"> health</w:t>
      </w:r>
      <w:r w:rsidRPr="008A6B50">
        <w:t xml:space="preserve"> </w:t>
      </w:r>
      <w:r w:rsidR="00C732EE" w:rsidRPr="008A6B50">
        <w:t>service,</w:t>
      </w:r>
      <w:r w:rsidR="008A6B50" w:rsidRPr="008A6B50">
        <w:t xml:space="preserve"> you can</w:t>
      </w:r>
      <w:r w:rsidR="008A6B50">
        <w:t>:</w:t>
      </w:r>
      <w:r w:rsidR="008A6B50" w:rsidRPr="008A6B50">
        <w:t xml:space="preserve"> </w:t>
      </w:r>
    </w:p>
    <w:p w:rsidR="006105F8" w:rsidRDefault="00EE0B6F" w:rsidP="00E12492">
      <w:pPr>
        <w:pStyle w:val="ListParagraph"/>
        <w:numPr>
          <w:ilvl w:val="0"/>
          <w:numId w:val="47"/>
        </w:numPr>
        <w:spacing w:after="0" w:line="240" w:lineRule="auto"/>
      </w:pPr>
      <w:r>
        <w:t>View information online</w:t>
      </w:r>
      <w:r w:rsidR="00556575">
        <w:t xml:space="preserve"> on</w:t>
      </w:r>
      <w:r w:rsidR="008A6B50" w:rsidRPr="008A6B50">
        <w:t xml:space="preserve"> the </w:t>
      </w:r>
      <w:r w:rsidR="00EE35EF">
        <w:t>M</w:t>
      </w:r>
      <w:r w:rsidR="008A6B50" w:rsidRPr="008A6B50">
        <w:t xml:space="preserve">edical </w:t>
      </w:r>
      <w:r w:rsidR="00EE35EF">
        <w:t>B</w:t>
      </w:r>
      <w:r w:rsidR="008A6B50" w:rsidRPr="008A6B50">
        <w:t>oard of Australia website</w:t>
      </w:r>
      <w:r>
        <w:t xml:space="preserve"> about making a complaint</w:t>
      </w:r>
      <w:r w:rsidR="008A6B50" w:rsidRPr="008A6B50">
        <w:t>:</w:t>
      </w:r>
      <w:r w:rsidR="008A6B50" w:rsidRPr="006105F8">
        <w:rPr>
          <w:rFonts w:asciiTheme="majorHAnsi" w:hAnsiTheme="majorHAnsi"/>
          <w:color w:val="001A70" w:themeColor="text2"/>
          <w:sz w:val="24"/>
        </w:rPr>
        <w:t xml:space="preserve"> </w:t>
      </w:r>
      <w:hyperlink r:id="rId20" w:history="1">
        <w:r w:rsidR="008A6B50">
          <w:rPr>
            <w:rStyle w:val="Hyperlink"/>
          </w:rPr>
          <w:t>https://www.medicalboard.gov.au/</w:t>
        </w:r>
      </w:hyperlink>
      <w:r w:rsidR="008A6B50">
        <w:t>, or</w:t>
      </w:r>
    </w:p>
    <w:p w:rsidR="002A211C" w:rsidRPr="006105F8" w:rsidRDefault="008A6B50" w:rsidP="00E12492">
      <w:pPr>
        <w:pStyle w:val="ListParagraph"/>
        <w:numPr>
          <w:ilvl w:val="0"/>
          <w:numId w:val="47"/>
        </w:numPr>
        <w:spacing w:after="0" w:line="240" w:lineRule="auto"/>
      </w:pPr>
      <w:r>
        <w:t xml:space="preserve">Submit a health provider tip off on the Department of </w:t>
      </w:r>
      <w:r w:rsidR="00EE35EF">
        <w:t>H</w:t>
      </w:r>
      <w:r>
        <w:t xml:space="preserve">ealth website: </w:t>
      </w:r>
      <w:hyperlink r:id="rId21" w:history="1">
        <w:r>
          <w:rPr>
            <w:rStyle w:val="Hyperlink"/>
          </w:rPr>
          <w:t>https://www1.health.gov.au/internet/main/publishing.nsf/Content/health-provider-tip-off</w:t>
        </w:r>
      </w:hyperlink>
    </w:p>
    <w:p w:rsidR="00756644" w:rsidRPr="00993DBB" w:rsidRDefault="00756644" w:rsidP="00993DBB">
      <w:pPr>
        <w:pStyle w:val="Heading3"/>
        <w:keepLines w:val="0"/>
        <w:spacing w:before="240" w:after="120"/>
        <w:rPr>
          <w:rFonts w:ascii="Arial" w:eastAsiaTheme="minorEastAsia" w:hAnsi="Arial" w:cstheme="minorBidi"/>
          <w:b/>
          <w:i/>
          <w:noProof/>
          <w:color w:val="001A70" w:themeColor="text2"/>
          <w:sz w:val="22"/>
          <w:szCs w:val="21"/>
        </w:rPr>
      </w:pPr>
      <w:r w:rsidRPr="00993DBB">
        <w:rPr>
          <w:rFonts w:ascii="Arial" w:eastAsiaTheme="minorEastAsia" w:hAnsi="Arial" w:cstheme="minorBidi"/>
          <w:b/>
          <w:i/>
          <w:noProof/>
          <w:color w:val="001A70" w:themeColor="text2"/>
          <w:sz w:val="22"/>
          <w:szCs w:val="21"/>
        </w:rPr>
        <w:t>Where can I find more information?</w:t>
      </w:r>
    </w:p>
    <w:p w:rsidR="008A6B50" w:rsidRDefault="00756644" w:rsidP="00E12492">
      <w:pPr>
        <w:spacing w:line="276" w:lineRule="auto"/>
      </w:pPr>
      <w:r>
        <w:t xml:space="preserve">COVID-19 National Health Plan resources for </w:t>
      </w:r>
      <w:r w:rsidRPr="005D432F">
        <w:t xml:space="preserve">the </w:t>
      </w:r>
      <w:r w:rsidR="003E64C0" w:rsidRPr="005D432F">
        <w:t>public</w:t>
      </w:r>
      <w:r w:rsidRPr="005D432F">
        <w:t>, health professionals and industry</w:t>
      </w:r>
      <w:r>
        <w:t xml:space="preserve"> are available from the </w:t>
      </w:r>
      <w:hyperlink r:id="rId22" w:history="1">
        <w:r w:rsidRPr="005D432F">
          <w:rPr>
            <w:rStyle w:val="Hyperlink"/>
          </w:rPr>
          <w:t>Australian Government Department of Health website</w:t>
        </w:r>
      </w:hyperlink>
      <w:r>
        <w:t>.</w:t>
      </w:r>
    </w:p>
    <w:p w:rsidR="00993DBB" w:rsidRDefault="00993DBB" w:rsidP="008A6B50">
      <w:pPr>
        <w:spacing w:line="276" w:lineRule="auto"/>
      </w:pPr>
    </w:p>
    <w:p w:rsidR="00756644" w:rsidRDefault="00756644" w:rsidP="00756644">
      <w:pPr>
        <w:pStyle w:val="Disclaimer"/>
      </w:pPr>
      <w:r w:rsidRPr="0029176A">
        <w:t xml:space="preserve">Please note that the information provided is a general guide only. It is ultimately the </w:t>
      </w:r>
      <w:r w:rsidR="00C732EE" w:rsidRPr="0029176A">
        <w:t>responsibility</w:t>
      </w:r>
      <w:r w:rsidRPr="0029176A">
        <w:t xml:space="preserve"> of treating practitioners to use their professional judgment to determine the most clinically appropriate services to provide, and then to ensure that any services billed to Medicare fully meet the eligibility requirements outlined in the legislation. </w:t>
      </w:r>
    </w:p>
    <w:p w:rsidR="004F3BB7" w:rsidRPr="004F3BB7" w:rsidRDefault="004F3BB7" w:rsidP="004F3BB7"/>
    <w:sectPr w:rsidR="004F3BB7" w:rsidRPr="004F3BB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42" w:rsidRDefault="00D31D42" w:rsidP="006D1088">
      <w:pPr>
        <w:spacing w:after="0" w:line="240" w:lineRule="auto"/>
      </w:pPr>
      <w:r>
        <w:separator/>
      </w:r>
    </w:p>
  </w:endnote>
  <w:endnote w:type="continuationSeparator" w:id="0">
    <w:p w:rsidR="00D31D42" w:rsidRDefault="00D31D42" w:rsidP="006D1088">
      <w:pPr>
        <w:spacing w:after="0" w:line="240" w:lineRule="auto"/>
      </w:pPr>
      <w:r>
        <w:continuationSeparator/>
      </w:r>
    </w:p>
  </w:endnote>
  <w:endnote w:type="continuationNotice" w:id="1">
    <w:p w:rsidR="00D31D42" w:rsidRDefault="00D31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5E" w:rsidRDefault="008F315F" w:rsidP="0038605E">
    <w:pPr>
      <w:pStyle w:val="Footer"/>
    </w:pPr>
    <w:r>
      <w:rPr>
        <w:rStyle w:val="BookTitle"/>
        <w:noProof/>
      </w:rPr>
      <w:pict>
        <v:rect id="_x0000_i1025" style="width:523.3pt;height:1.9pt" o:hralign="center" o:hrstd="t" o:hr="t" fillcolor="#a0a0a0" stroked="f"/>
      </w:pict>
    </w:r>
    <w:r w:rsidR="0038605E">
      <w:t>Medicare Benefits Schedule</w:t>
    </w:r>
    <w:r w:rsidR="0038605E">
      <w:tab/>
    </w:r>
  </w:p>
  <w:p w:rsidR="0038605E" w:rsidRPr="00A75DC5" w:rsidRDefault="0038605E" w:rsidP="0038605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xml:space="preserve">– </w:t>
    </w:r>
    <w:r>
      <w:rPr>
        <w:b/>
        <w:sz w:val="16"/>
        <w:szCs w:val="16"/>
      </w:rPr>
      <w:t xml:space="preserve">Consumer </w:t>
    </w:r>
    <w:r w:rsidRPr="00A75DC5">
      <w:rPr>
        <w:b/>
        <w:sz w:val="16"/>
        <w:szCs w:val="16"/>
      </w:rPr>
      <w:t>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256D9C">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256D9C">
                  <w:rPr>
                    <w:bCs/>
                    <w:noProof/>
                    <w:sz w:val="16"/>
                    <w:szCs w:val="16"/>
                  </w:rPr>
                  <w:t>5</w:t>
                </w:r>
                <w:r w:rsidRPr="00A75DC5">
                  <w:rPr>
                    <w:bCs/>
                    <w:sz w:val="16"/>
                    <w:szCs w:val="16"/>
                  </w:rPr>
                  <w:fldChar w:fldCharType="end"/>
                </w:r>
              </w:sdtContent>
            </w:sdt>
          </w:sdtContent>
        </w:sdt>
        <w:r w:rsidRPr="00A75DC5">
          <w:rPr>
            <w:sz w:val="16"/>
            <w:szCs w:val="16"/>
          </w:rPr>
          <w:t xml:space="preserve"> </w:t>
        </w:r>
      </w:sdtContent>
    </w:sdt>
  </w:p>
  <w:p w:rsidR="0038605E" w:rsidRPr="00BF24D6" w:rsidRDefault="008F315F" w:rsidP="0038605E">
    <w:pPr>
      <w:pStyle w:val="Footer"/>
    </w:pPr>
    <w:hyperlink r:id="rId1" w:history="1">
      <w:r w:rsidR="0038605E" w:rsidRPr="00BF24D6">
        <w:t>MBS Online</w:t>
      </w:r>
    </w:hyperlink>
  </w:p>
  <w:p w:rsidR="0038605E" w:rsidRPr="00A75DC5" w:rsidRDefault="0038605E" w:rsidP="0038605E">
    <w:pPr>
      <w:pStyle w:val="Footer"/>
      <w:rPr>
        <w:szCs w:val="16"/>
      </w:rPr>
    </w:pPr>
    <w:r w:rsidRPr="00A75DC5">
      <w:rPr>
        <w:szCs w:val="16"/>
      </w:rPr>
      <w:t xml:space="preserve">Last updated – </w:t>
    </w:r>
    <w:r>
      <w:rPr>
        <w:szCs w:val="16"/>
      </w:rPr>
      <w:t>1</w:t>
    </w:r>
    <w:r w:rsidR="00350569">
      <w:rPr>
        <w:szCs w:val="16"/>
      </w:rPr>
      <w:t>8</w:t>
    </w:r>
    <w:r>
      <w:rPr>
        <w:szCs w:val="16"/>
      </w:rPr>
      <w:t xml:space="preserve"> September 2020</w:t>
    </w:r>
  </w:p>
  <w:p w:rsidR="00200594" w:rsidRPr="0038605E" w:rsidRDefault="00200594" w:rsidP="0038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10" w:rsidRDefault="00AA7C10" w:rsidP="00AA7C10">
    <w:pPr>
      <w:pStyle w:val="Footer"/>
    </w:pPr>
    <w:r>
      <w:t>Medicare Benefits Schedule</w:t>
    </w:r>
    <w:r>
      <w:tab/>
    </w:r>
  </w:p>
  <w:p w:rsidR="00AA7C10" w:rsidRPr="00A75DC5" w:rsidRDefault="00AA7C10" w:rsidP="00AA7C10">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xml:space="preserve">– </w:t>
    </w:r>
    <w:r>
      <w:rPr>
        <w:b/>
        <w:sz w:val="16"/>
        <w:szCs w:val="16"/>
      </w:rPr>
      <w:t xml:space="preserve">Consumer </w:t>
    </w:r>
    <w:r w:rsidRPr="00A75DC5">
      <w:rPr>
        <w:b/>
        <w:sz w:val="16"/>
        <w:szCs w:val="16"/>
      </w:rPr>
      <w:t>Factsheet</w:t>
    </w:r>
    <w:r w:rsidRPr="00A75DC5">
      <w:rPr>
        <w:sz w:val="16"/>
        <w:szCs w:val="16"/>
      </w:rPr>
      <w:t xml:space="preserve"> </w:t>
    </w:r>
    <w:sdt>
      <w:sdtPr>
        <w:rPr>
          <w:sz w:val="16"/>
          <w:szCs w:val="16"/>
        </w:rPr>
        <w:id w:val="-1664534650"/>
        <w:docPartObj>
          <w:docPartGallery w:val="Page Numbers (Bottom of Page)"/>
          <w:docPartUnique/>
        </w:docPartObj>
      </w:sdtPr>
      <w:sdtEndPr>
        <w:rPr>
          <w:noProof/>
        </w:rPr>
      </w:sdtEndPr>
      <w:sdtContent>
        <w:r w:rsidRPr="00A75DC5">
          <w:rPr>
            <w:sz w:val="16"/>
            <w:szCs w:val="16"/>
          </w:rPr>
          <w:tab/>
        </w:r>
        <w:sdt>
          <w:sdtPr>
            <w:rPr>
              <w:sz w:val="16"/>
              <w:szCs w:val="16"/>
            </w:rPr>
            <w:id w:val="1886138250"/>
            <w:docPartObj>
              <w:docPartGallery w:val="Page Numbers (Bottom of Page)"/>
              <w:docPartUnique/>
            </w:docPartObj>
          </w:sdtPr>
          <w:sdtEndPr/>
          <w:sdtContent>
            <w:sdt>
              <w:sdtPr>
                <w:rPr>
                  <w:sz w:val="16"/>
                  <w:szCs w:val="16"/>
                </w:rPr>
                <w:id w:val="388316095"/>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8F315F">
                  <w:rPr>
                    <w:bCs/>
                    <w:noProof/>
                    <w:sz w:val="16"/>
                    <w:szCs w:val="16"/>
                  </w:rPr>
                  <w:t>5</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8F315F">
                  <w:rPr>
                    <w:bCs/>
                    <w:noProof/>
                    <w:sz w:val="16"/>
                    <w:szCs w:val="16"/>
                  </w:rPr>
                  <w:t>5</w:t>
                </w:r>
                <w:r w:rsidRPr="00A75DC5">
                  <w:rPr>
                    <w:bCs/>
                    <w:sz w:val="16"/>
                    <w:szCs w:val="16"/>
                  </w:rPr>
                  <w:fldChar w:fldCharType="end"/>
                </w:r>
              </w:sdtContent>
            </w:sdt>
          </w:sdtContent>
        </w:sdt>
        <w:r w:rsidRPr="00A75DC5">
          <w:rPr>
            <w:sz w:val="16"/>
            <w:szCs w:val="16"/>
          </w:rPr>
          <w:t xml:space="preserve"> </w:t>
        </w:r>
      </w:sdtContent>
    </w:sdt>
  </w:p>
  <w:p w:rsidR="00AA7C10" w:rsidRPr="00BF24D6" w:rsidRDefault="008F315F" w:rsidP="00AA7C10">
    <w:pPr>
      <w:pStyle w:val="Footer"/>
    </w:pPr>
    <w:hyperlink r:id="rId1" w:history="1">
      <w:r w:rsidR="00AA7C10" w:rsidRPr="00BF24D6">
        <w:t>MBS Online</w:t>
      </w:r>
    </w:hyperlink>
  </w:p>
  <w:p w:rsidR="00AA7C10" w:rsidRPr="00A75DC5" w:rsidRDefault="00AA7C10" w:rsidP="00AA7C10">
    <w:pPr>
      <w:pStyle w:val="Footer"/>
      <w:rPr>
        <w:szCs w:val="16"/>
      </w:rPr>
    </w:pPr>
    <w:r w:rsidRPr="00A75DC5">
      <w:rPr>
        <w:szCs w:val="16"/>
      </w:rPr>
      <w:t xml:space="preserve">Last updated – </w:t>
    </w:r>
    <w:r>
      <w:rPr>
        <w:szCs w:val="16"/>
      </w:rPr>
      <w:t>1</w:t>
    </w:r>
    <w:r w:rsidR="00350569">
      <w:rPr>
        <w:szCs w:val="16"/>
      </w:rPr>
      <w:t>8</w:t>
    </w:r>
    <w:r>
      <w:rPr>
        <w:szCs w:val="16"/>
      </w:rPr>
      <w:t xml:space="preserve"> September 2020</w:t>
    </w:r>
  </w:p>
  <w:p w:rsidR="00AA7C10" w:rsidRPr="0038605E" w:rsidRDefault="00AA7C10" w:rsidP="00AA7C10">
    <w:pPr>
      <w:pStyle w:val="Footer"/>
    </w:pPr>
  </w:p>
  <w:p w:rsidR="00200594" w:rsidRPr="00AA7C10" w:rsidRDefault="00200594" w:rsidP="00AA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42" w:rsidRDefault="00D31D42" w:rsidP="006D1088">
      <w:pPr>
        <w:spacing w:after="0" w:line="240" w:lineRule="auto"/>
      </w:pPr>
      <w:r>
        <w:separator/>
      </w:r>
    </w:p>
  </w:footnote>
  <w:footnote w:type="continuationSeparator" w:id="0">
    <w:p w:rsidR="00D31D42" w:rsidRDefault="00D31D42" w:rsidP="006D1088">
      <w:pPr>
        <w:spacing w:after="0" w:line="240" w:lineRule="auto"/>
      </w:pPr>
      <w:r>
        <w:continuationSeparator/>
      </w:r>
    </w:p>
  </w:footnote>
  <w:footnote w:type="continuationNotice" w:id="1">
    <w:p w:rsidR="00D31D42" w:rsidRDefault="00D31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94" w:rsidRDefault="00200594">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DE16591" wp14:editId="463964A6">
              <wp:simplePos x="0" y="0"/>
              <wp:positionH relativeFrom="margin">
                <wp:align>right</wp:align>
              </wp:positionH>
              <wp:positionV relativeFrom="paragraph">
                <wp:posOffset>-450141</wp:posOffset>
              </wp:positionV>
              <wp:extent cx="3830320" cy="141413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30320" cy="1414130"/>
                      </a:xfrm>
                      <a:prstGeom prst="rect">
                        <a:avLst/>
                      </a:prstGeom>
                    </wps:spPr>
                    <wps:txbx>
                      <w:txbxContent>
                        <w:p w:rsidR="00E31BCB" w:rsidRDefault="00E31BCB" w:rsidP="00E31BCB">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144"/>
                              <w:szCs w:val="56"/>
                              <w:lang w:val="en-US"/>
                            </w:rPr>
                          </w:pPr>
                        </w:p>
                        <w:p w:rsidR="00C44B1D" w:rsidRPr="00BA129D" w:rsidRDefault="00BA129D" w:rsidP="00BA129D">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Consumer factsheet</w:t>
                          </w:r>
                        </w:p>
                        <w:p w:rsidR="00200594" w:rsidRPr="00C44B1D" w:rsidRDefault="00200594" w:rsidP="00420023">
                          <w:pPr>
                            <w:pStyle w:val="NormalWeb"/>
                            <w:spacing w:before="0" w:beforeAutospacing="0" w:after="0" w:afterAutospacing="0" w:line="600" w:lineRule="exact"/>
                            <w:jc w:val="right"/>
                            <w:rPr>
                              <w:sz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DE16591" id="Title 3" o:spid="_x0000_s1026" style="position:absolute;margin-left:250.4pt;margin-top:-35.45pt;width:301.6pt;height:111.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" filled="f" stroked="f">
              <v:path arrowok="t"/>
              <o:lock v:ext="edit" grouping="t"/>
              <v:textbox>
                <w:txbxContent>
                  <w:p w:rsidR="00E31BCB" w:rsidRDefault="00E31BCB" w:rsidP="00E31BCB">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144"/>
                        <w:szCs w:val="56"/>
                        <w:lang w:val="en-US"/>
                      </w:rPr>
                    </w:pPr>
                  </w:p>
                  <w:p w:rsidR="00C44B1D" w:rsidRPr="00BA129D" w:rsidRDefault="00BA129D" w:rsidP="00BA129D">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Consumer factsheet</w:t>
                    </w:r>
                  </w:p>
                  <w:p w:rsidR="00200594" w:rsidRPr="00C44B1D" w:rsidRDefault="00200594" w:rsidP="00420023">
                    <w:pPr>
                      <w:pStyle w:val="NormalWeb"/>
                      <w:spacing w:before="0" w:beforeAutospacing="0" w:after="0" w:afterAutospacing="0" w:line="600" w:lineRule="exact"/>
                      <w:jc w:val="right"/>
                      <w:rPr>
                        <w:sz w:val="36"/>
                      </w:rPr>
                    </w:pPr>
                  </w:p>
                </w:txbxContent>
              </v:textbox>
              <w10:wrap anchorx="margin"/>
            </v:rect>
          </w:pict>
        </mc:Fallback>
      </mc:AlternateContent>
    </w:r>
    <w:r w:rsidRPr="006D1088">
      <w:rPr>
        <w:noProof/>
        <w:lang w:eastAsia="en-AU"/>
      </w:rPr>
      <w:drawing>
        <wp:anchor distT="0" distB="0" distL="114300" distR="114300" simplePos="0" relativeHeight="251668480" behindDoc="1" locked="0" layoutInCell="1" allowOverlap="1" wp14:anchorId="4E464C40" wp14:editId="79E80A17">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75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94" w:rsidRDefault="00200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94" w:rsidRDefault="00E31BCB">
    <w:pPr>
      <w:pStyle w:val="Header"/>
    </w:pPr>
    <w:r w:rsidRPr="00113A85">
      <w:rPr>
        <w:noProof/>
        <w:lang w:eastAsia="en-AU"/>
      </w:rPr>
      <mc:AlternateContent>
        <mc:Choice Requires="wps">
          <w:drawing>
            <wp:anchor distT="0" distB="0" distL="114300" distR="114300" simplePos="0" relativeHeight="251671552" behindDoc="0" locked="0" layoutInCell="1" allowOverlap="1" wp14:anchorId="01C7559D" wp14:editId="3B04E5B9">
              <wp:simplePos x="0" y="0"/>
              <wp:positionH relativeFrom="margin">
                <wp:align>right</wp:align>
              </wp:positionH>
              <wp:positionV relativeFrom="paragraph">
                <wp:posOffset>-592455</wp:posOffset>
              </wp:positionV>
              <wp:extent cx="3830320" cy="1571625"/>
              <wp:effectExtent l="0" t="0" r="0" b="0"/>
              <wp:wrapNone/>
              <wp:docPr id="4"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30320" cy="1571625"/>
                      </a:xfrm>
                      <a:prstGeom prst="rect">
                        <a:avLst/>
                      </a:prstGeom>
                    </wps:spPr>
                    <wps:txbx>
                      <w:txbxContent>
                        <w:p w:rsidR="00E31BCB" w:rsidRDefault="00E31BCB" w:rsidP="00E31BCB">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144"/>
                              <w:szCs w:val="56"/>
                              <w:lang w:val="en-US"/>
                            </w:rPr>
                          </w:pPr>
                        </w:p>
                        <w:p w:rsidR="00E31BCB" w:rsidRPr="00C44B1D" w:rsidRDefault="00E31BCB" w:rsidP="00E31BCB">
                          <w:pPr>
                            <w:pStyle w:val="NormalWeb"/>
                            <w:spacing w:before="0" w:beforeAutospacing="0" w:after="0" w:afterAutospacing="0" w:line="600" w:lineRule="exact"/>
                            <w:jc w:val="center"/>
                            <w:rPr>
                              <w:rFonts w:asciiTheme="majorHAnsi" w:eastAsiaTheme="majorEastAsia" w:hAnsi="Arial" w:cstheme="majorBidi"/>
                              <w:b/>
                              <w:bCs/>
                              <w:color w:val="FFFFFF" w:themeColor="background1"/>
                              <w:kern w:val="24"/>
                              <w:position w:val="1"/>
                              <w:sz w:val="44"/>
                              <w:lang w:val="en-US"/>
                            </w:rPr>
                          </w:pPr>
                          <w:r>
                            <w:rPr>
                              <w:rFonts w:asciiTheme="majorHAnsi" w:eastAsiaTheme="majorEastAsia" w:hAnsi="Arial" w:cstheme="majorBidi"/>
                              <w:b/>
                              <w:bCs/>
                              <w:color w:val="FFFFFF" w:themeColor="background1"/>
                              <w:kern w:val="24"/>
                              <w:position w:val="1"/>
                              <w:sz w:val="44"/>
                              <w:lang w:val="en-US"/>
                            </w:rPr>
                            <w:t xml:space="preserve">                             </w:t>
                          </w:r>
                          <w:r w:rsidRPr="00C44B1D">
                            <w:rPr>
                              <w:rFonts w:asciiTheme="majorHAnsi" w:eastAsiaTheme="majorEastAsia" w:hAnsi="Arial" w:cstheme="majorBidi"/>
                              <w:b/>
                              <w:bCs/>
                              <w:color w:val="FFFFFF" w:themeColor="background1"/>
                              <w:kern w:val="24"/>
                              <w:position w:val="1"/>
                              <w:sz w:val="44"/>
                              <w:lang w:val="en-US"/>
                            </w:rPr>
                            <w:t>COVID 19</w:t>
                          </w:r>
                        </w:p>
                        <w:p w:rsidR="00E31BCB" w:rsidRPr="00C44B1D" w:rsidRDefault="00E31BCB" w:rsidP="00E31BCB">
                          <w:pPr>
                            <w:pStyle w:val="NormalWeb"/>
                            <w:spacing w:before="0" w:beforeAutospacing="0" w:after="0" w:afterAutospacing="0" w:line="600" w:lineRule="exact"/>
                            <w:jc w:val="right"/>
                            <w:rPr>
                              <w:rFonts w:asciiTheme="majorHAnsi" w:eastAsiaTheme="majorEastAsia" w:hAnsi="Arial" w:cstheme="majorBidi"/>
                              <w:bCs/>
                              <w:color w:val="FFFFFF" w:themeColor="background1"/>
                              <w:kern w:val="24"/>
                              <w:position w:val="1"/>
                              <w:sz w:val="48"/>
                              <w:lang w:val="en-US"/>
                            </w:rPr>
                          </w:pPr>
                          <w:r w:rsidRPr="00C44B1D">
                            <w:rPr>
                              <w:rFonts w:asciiTheme="majorHAnsi" w:eastAsiaTheme="majorEastAsia" w:hAnsi="Arial" w:cstheme="majorBidi"/>
                              <w:b/>
                              <w:bCs/>
                              <w:color w:val="FFFFFF" w:themeColor="background1"/>
                              <w:kern w:val="24"/>
                              <w:position w:val="1"/>
                              <w:sz w:val="44"/>
                              <w:lang w:val="en-US"/>
                            </w:rPr>
                            <w:t>CONSUMER</w:t>
                          </w:r>
                          <w:r>
                            <w:rPr>
                              <w:rFonts w:asciiTheme="majorHAnsi" w:eastAsiaTheme="majorEastAsia" w:hAnsi="Arial" w:cstheme="majorBidi"/>
                              <w:b/>
                              <w:bCs/>
                              <w:color w:val="FFFFFF" w:themeColor="background1"/>
                              <w:kern w:val="24"/>
                              <w:position w:val="1"/>
                              <w:sz w:val="44"/>
                              <w:lang w:val="en-US"/>
                            </w:rPr>
                            <w:t xml:space="preserve"> FACTSHEET</w:t>
                          </w:r>
                          <w:r w:rsidRPr="00C44B1D">
                            <w:rPr>
                              <w:rFonts w:asciiTheme="majorHAnsi" w:eastAsiaTheme="majorEastAsia" w:hAnsi="Arial" w:cstheme="majorBidi"/>
                              <w:b/>
                              <w:bCs/>
                              <w:color w:val="FFFFFF" w:themeColor="background1"/>
                              <w:kern w:val="24"/>
                              <w:position w:val="1"/>
                              <w:sz w:val="44"/>
                              <w:lang w:val="en-US"/>
                            </w:rPr>
                            <w:t xml:space="preserve"> TELEHEALTH</w:t>
                          </w:r>
                        </w:p>
                        <w:p w:rsidR="00E31BCB" w:rsidRPr="00C44B1D" w:rsidRDefault="00E31BCB" w:rsidP="00E31BCB">
                          <w:pPr>
                            <w:pStyle w:val="NormalWeb"/>
                            <w:spacing w:before="0" w:beforeAutospacing="0" w:after="0" w:afterAutospacing="0" w:line="600" w:lineRule="exact"/>
                            <w:jc w:val="right"/>
                            <w:rPr>
                              <w:sz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1C7559D" id="_x0000_s1027" style="position:absolute;margin-left:250.4pt;margin-top:-46.65pt;width:301.6pt;height:123.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" filled="f" stroked="f">
              <v:path arrowok="t"/>
              <o:lock v:ext="edit" grouping="t"/>
              <v:textbox>
                <w:txbxContent>
                  <w:p w:rsidR="00E31BCB" w:rsidRDefault="00E31BCB" w:rsidP="00E31BCB">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144"/>
                        <w:szCs w:val="56"/>
                        <w:lang w:val="en-US"/>
                      </w:rPr>
                    </w:pPr>
                  </w:p>
                  <w:p w:rsidR="00E31BCB" w:rsidRPr="00C44B1D" w:rsidRDefault="00E31BCB" w:rsidP="00E31BCB">
                    <w:pPr>
                      <w:pStyle w:val="NormalWeb"/>
                      <w:spacing w:before="0" w:beforeAutospacing="0" w:after="0" w:afterAutospacing="0" w:line="600" w:lineRule="exact"/>
                      <w:jc w:val="center"/>
                      <w:rPr>
                        <w:rFonts w:asciiTheme="majorHAnsi" w:eastAsiaTheme="majorEastAsia" w:hAnsi="Arial" w:cstheme="majorBidi"/>
                        <w:b/>
                        <w:bCs/>
                        <w:color w:val="FFFFFF" w:themeColor="background1"/>
                        <w:kern w:val="24"/>
                        <w:position w:val="1"/>
                        <w:sz w:val="44"/>
                        <w:lang w:val="en-US"/>
                      </w:rPr>
                    </w:pPr>
                    <w:r>
                      <w:rPr>
                        <w:rFonts w:asciiTheme="majorHAnsi" w:eastAsiaTheme="majorEastAsia" w:hAnsi="Arial" w:cstheme="majorBidi"/>
                        <w:b/>
                        <w:bCs/>
                        <w:color w:val="FFFFFF" w:themeColor="background1"/>
                        <w:kern w:val="24"/>
                        <w:position w:val="1"/>
                        <w:sz w:val="44"/>
                        <w:lang w:val="en-US"/>
                      </w:rPr>
                      <w:t xml:space="preserve">                             </w:t>
                    </w:r>
                    <w:r w:rsidRPr="00C44B1D">
                      <w:rPr>
                        <w:rFonts w:asciiTheme="majorHAnsi" w:eastAsiaTheme="majorEastAsia" w:hAnsi="Arial" w:cstheme="majorBidi"/>
                        <w:b/>
                        <w:bCs/>
                        <w:color w:val="FFFFFF" w:themeColor="background1"/>
                        <w:kern w:val="24"/>
                        <w:position w:val="1"/>
                        <w:sz w:val="44"/>
                        <w:lang w:val="en-US"/>
                      </w:rPr>
                      <w:t>COVID 19</w:t>
                    </w:r>
                  </w:p>
                  <w:p w:rsidR="00E31BCB" w:rsidRPr="00C44B1D" w:rsidRDefault="00E31BCB" w:rsidP="00E31BCB">
                    <w:pPr>
                      <w:pStyle w:val="NormalWeb"/>
                      <w:spacing w:before="0" w:beforeAutospacing="0" w:after="0" w:afterAutospacing="0" w:line="600" w:lineRule="exact"/>
                      <w:jc w:val="right"/>
                      <w:rPr>
                        <w:rFonts w:asciiTheme="majorHAnsi" w:eastAsiaTheme="majorEastAsia" w:hAnsi="Arial" w:cstheme="majorBidi"/>
                        <w:bCs/>
                        <w:color w:val="FFFFFF" w:themeColor="background1"/>
                        <w:kern w:val="24"/>
                        <w:position w:val="1"/>
                        <w:sz w:val="48"/>
                        <w:lang w:val="en-US"/>
                      </w:rPr>
                    </w:pPr>
                    <w:r w:rsidRPr="00C44B1D">
                      <w:rPr>
                        <w:rFonts w:asciiTheme="majorHAnsi" w:eastAsiaTheme="majorEastAsia" w:hAnsi="Arial" w:cstheme="majorBidi"/>
                        <w:b/>
                        <w:bCs/>
                        <w:color w:val="FFFFFF" w:themeColor="background1"/>
                        <w:kern w:val="24"/>
                        <w:position w:val="1"/>
                        <w:sz w:val="44"/>
                        <w:lang w:val="en-US"/>
                      </w:rPr>
                      <w:t>CONSUMER</w:t>
                    </w:r>
                    <w:r>
                      <w:rPr>
                        <w:rFonts w:asciiTheme="majorHAnsi" w:eastAsiaTheme="majorEastAsia" w:hAnsi="Arial" w:cstheme="majorBidi"/>
                        <w:b/>
                        <w:bCs/>
                        <w:color w:val="FFFFFF" w:themeColor="background1"/>
                        <w:kern w:val="24"/>
                        <w:position w:val="1"/>
                        <w:sz w:val="44"/>
                        <w:lang w:val="en-US"/>
                      </w:rPr>
                      <w:t xml:space="preserve"> FACTSHEET</w:t>
                    </w:r>
                    <w:r w:rsidRPr="00C44B1D">
                      <w:rPr>
                        <w:rFonts w:asciiTheme="majorHAnsi" w:eastAsiaTheme="majorEastAsia" w:hAnsi="Arial" w:cstheme="majorBidi"/>
                        <w:b/>
                        <w:bCs/>
                        <w:color w:val="FFFFFF" w:themeColor="background1"/>
                        <w:kern w:val="24"/>
                        <w:position w:val="1"/>
                        <w:sz w:val="44"/>
                        <w:lang w:val="en-US"/>
                      </w:rPr>
                      <w:t xml:space="preserve"> TELEHEALTH</w:t>
                    </w:r>
                  </w:p>
                  <w:p w:rsidR="00E31BCB" w:rsidRPr="00C44B1D" w:rsidRDefault="00E31BCB" w:rsidP="00E31BCB">
                    <w:pPr>
                      <w:pStyle w:val="NormalWeb"/>
                      <w:spacing w:before="0" w:beforeAutospacing="0" w:after="0" w:afterAutospacing="0" w:line="600" w:lineRule="exact"/>
                      <w:jc w:val="right"/>
                      <w:rPr>
                        <w:sz w:val="36"/>
                      </w:rPr>
                    </w:pPr>
                  </w:p>
                </w:txbxContent>
              </v:textbox>
              <w10:wrap anchorx="margin"/>
            </v:rect>
          </w:pict>
        </mc:Fallback>
      </mc:AlternateContent>
    </w:r>
    <w:r w:rsidR="00200594" w:rsidRPr="006D1088">
      <w:rPr>
        <w:noProof/>
        <w:lang w:eastAsia="en-AU"/>
      </w:rPr>
      <w:drawing>
        <wp:anchor distT="0" distB="0" distL="114300" distR="114300" simplePos="0" relativeHeight="251658240" behindDoc="1" locked="0" layoutInCell="1" allowOverlap="1" wp14:anchorId="251C0DBC" wp14:editId="4CC04AA4">
          <wp:simplePos x="0" y="0"/>
          <wp:positionH relativeFrom="page">
            <wp:align>left</wp:align>
          </wp:positionH>
          <wp:positionV relativeFrom="paragraph">
            <wp:posOffset>-449580</wp:posOffset>
          </wp:positionV>
          <wp:extent cx="7643250" cy="161121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94" w:rsidRDefault="0020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21A5D85"/>
    <w:multiLevelType w:val="hybridMultilevel"/>
    <w:tmpl w:val="05469AF0"/>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A322388"/>
    <w:multiLevelType w:val="hybridMultilevel"/>
    <w:tmpl w:val="29561D92"/>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42611C"/>
    <w:multiLevelType w:val="hybridMultilevel"/>
    <w:tmpl w:val="B96E2B0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75A370A"/>
    <w:multiLevelType w:val="hybridMultilevel"/>
    <w:tmpl w:val="12442898"/>
    <w:lvl w:ilvl="0" w:tplc="819E1B38">
      <w:start w:val="1"/>
      <w:numFmt w:val="bullet"/>
      <w:lvlText w:val=""/>
      <w:lvlJc w:val="left"/>
      <w:pPr>
        <w:ind w:left="360" w:hanging="360"/>
      </w:pPr>
      <w:rPr>
        <w:rFonts w:ascii="Symbol" w:hAnsi="Symbol" w:hint="default"/>
        <w:color w:val="789D4A" w:themeColor="accent2"/>
        <w:spacing w:val="0"/>
        <w:w w:val="100"/>
        <w:sz w:val="24"/>
      </w:rPr>
    </w:lvl>
    <w:lvl w:ilvl="1" w:tplc="9A4CF5A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BD5214"/>
    <w:multiLevelType w:val="hybridMultilevel"/>
    <w:tmpl w:val="0CCEAB7C"/>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90961"/>
    <w:multiLevelType w:val="hybridMultilevel"/>
    <w:tmpl w:val="9AFC2CC6"/>
    <w:lvl w:ilvl="0" w:tplc="81307F78">
      <w:start w:val="3"/>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F7499B"/>
    <w:multiLevelType w:val="hybridMultilevel"/>
    <w:tmpl w:val="5548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B7872"/>
    <w:multiLevelType w:val="hybridMultilevel"/>
    <w:tmpl w:val="0EE25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B96C15"/>
    <w:multiLevelType w:val="hybridMultilevel"/>
    <w:tmpl w:val="6674DC14"/>
    <w:lvl w:ilvl="0" w:tplc="A8FE9ECC">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1" w15:restartNumberingAfterBreak="0">
    <w:nsid w:val="7F57720C"/>
    <w:multiLevelType w:val="hybridMultilevel"/>
    <w:tmpl w:val="F242568A"/>
    <w:lvl w:ilvl="0" w:tplc="B34C0AB0">
      <w:start w:val="1"/>
      <w:numFmt w:val="lowerLetter"/>
      <w:lvlText w:val="(%1)"/>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6"/>
  </w:num>
  <w:num w:numId="15">
    <w:abstractNumId w:val="15"/>
  </w:num>
  <w:num w:numId="16">
    <w:abstractNumId w:val="25"/>
  </w:num>
  <w:num w:numId="17">
    <w:abstractNumId w:val="14"/>
  </w:num>
  <w:num w:numId="18">
    <w:abstractNumId w:val="12"/>
  </w:num>
  <w:num w:numId="19">
    <w:abstractNumId w:val="13"/>
  </w:num>
  <w:num w:numId="20">
    <w:abstractNumId w:val="19"/>
  </w:num>
  <w:num w:numId="21">
    <w:abstractNumId w:val="22"/>
  </w:num>
  <w:num w:numId="22">
    <w:abstractNumId w:val="16"/>
  </w:num>
  <w:num w:numId="23">
    <w:abstractNumId w:val="16"/>
  </w:num>
  <w:num w:numId="24">
    <w:abstractNumId w:val="16"/>
  </w:num>
  <w:num w:numId="25">
    <w:abstractNumId w:val="16"/>
  </w:num>
  <w:num w:numId="26">
    <w:abstractNumId w:val="16"/>
  </w:num>
  <w:num w:numId="27">
    <w:abstractNumId w:val="13"/>
  </w:num>
  <w:num w:numId="28">
    <w:abstractNumId w:val="16"/>
  </w:num>
  <w:num w:numId="29">
    <w:abstractNumId w:val="16"/>
  </w:num>
  <w:num w:numId="30">
    <w:abstractNumId w:val="26"/>
  </w:num>
  <w:num w:numId="31">
    <w:abstractNumId w:val="28"/>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8"/>
  </w:num>
  <w:num w:numId="46">
    <w:abstractNumId w:val="17"/>
  </w:num>
  <w:num w:numId="47">
    <w:abstractNumId w:val="21"/>
  </w:num>
  <w:num w:numId="48">
    <w:abstractNumId w:val="23"/>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1"/>
  </w:num>
  <w:num w:numId="52">
    <w:abstractNumId w:val="20"/>
  </w:num>
  <w:num w:numId="53">
    <w:abstractNumId w:val="11"/>
  </w:num>
  <w:num w:numId="54">
    <w:abstractNumId w:val="29"/>
  </w:num>
  <w:num w:numId="55">
    <w:abstractNumId w:val="24"/>
  </w:num>
  <w:num w:numId="56">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F4E"/>
    <w:rsid w:val="000074DD"/>
    <w:rsid w:val="00035173"/>
    <w:rsid w:val="00035A8D"/>
    <w:rsid w:val="000367AA"/>
    <w:rsid w:val="000411E0"/>
    <w:rsid w:val="00045810"/>
    <w:rsid w:val="0005251A"/>
    <w:rsid w:val="00063E5C"/>
    <w:rsid w:val="000733F1"/>
    <w:rsid w:val="00081B97"/>
    <w:rsid w:val="00085277"/>
    <w:rsid w:val="000918D9"/>
    <w:rsid w:val="00094B76"/>
    <w:rsid w:val="000A2F0A"/>
    <w:rsid w:val="000B01AE"/>
    <w:rsid w:val="000B2A1B"/>
    <w:rsid w:val="000B4FF3"/>
    <w:rsid w:val="000C2143"/>
    <w:rsid w:val="000C3B83"/>
    <w:rsid w:val="000C5935"/>
    <w:rsid w:val="000D1778"/>
    <w:rsid w:val="000E3380"/>
    <w:rsid w:val="000E421B"/>
    <w:rsid w:val="000E5740"/>
    <w:rsid w:val="000E5D08"/>
    <w:rsid w:val="000F0857"/>
    <w:rsid w:val="001014EB"/>
    <w:rsid w:val="00102885"/>
    <w:rsid w:val="00110F8D"/>
    <w:rsid w:val="001133F7"/>
    <w:rsid w:val="00121100"/>
    <w:rsid w:val="00124E0B"/>
    <w:rsid w:val="00130343"/>
    <w:rsid w:val="00135417"/>
    <w:rsid w:val="00141BC3"/>
    <w:rsid w:val="001432AF"/>
    <w:rsid w:val="001443FD"/>
    <w:rsid w:val="00145285"/>
    <w:rsid w:val="00151636"/>
    <w:rsid w:val="00155BD4"/>
    <w:rsid w:val="0015621C"/>
    <w:rsid w:val="00156CF5"/>
    <w:rsid w:val="00167446"/>
    <w:rsid w:val="001702DE"/>
    <w:rsid w:val="0017052D"/>
    <w:rsid w:val="0017279A"/>
    <w:rsid w:val="00172B1A"/>
    <w:rsid w:val="0018054B"/>
    <w:rsid w:val="00181B52"/>
    <w:rsid w:val="00184311"/>
    <w:rsid w:val="00184BB9"/>
    <w:rsid w:val="0018507E"/>
    <w:rsid w:val="0019170A"/>
    <w:rsid w:val="001A6FE6"/>
    <w:rsid w:val="001A7FB7"/>
    <w:rsid w:val="001C4D05"/>
    <w:rsid w:val="001C52EC"/>
    <w:rsid w:val="001C5C56"/>
    <w:rsid w:val="001D70BC"/>
    <w:rsid w:val="001E6F63"/>
    <w:rsid w:val="001F49E8"/>
    <w:rsid w:val="001F531E"/>
    <w:rsid w:val="00200594"/>
    <w:rsid w:val="00200902"/>
    <w:rsid w:val="00203240"/>
    <w:rsid w:val="00203F3E"/>
    <w:rsid w:val="00204561"/>
    <w:rsid w:val="00206EEF"/>
    <w:rsid w:val="0021035A"/>
    <w:rsid w:val="00221334"/>
    <w:rsid w:val="002247A9"/>
    <w:rsid w:val="00235B29"/>
    <w:rsid w:val="002427E0"/>
    <w:rsid w:val="00243D1C"/>
    <w:rsid w:val="0024773E"/>
    <w:rsid w:val="00250819"/>
    <w:rsid w:val="0025461C"/>
    <w:rsid w:val="00256D9C"/>
    <w:rsid w:val="00261BCD"/>
    <w:rsid w:val="00262717"/>
    <w:rsid w:val="0026502E"/>
    <w:rsid w:val="00276A29"/>
    <w:rsid w:val="00281820"/>
    <w:rsid w:val="002A211C"/>
    <w:rsid w:val="002A3C7C"/>
    <w:rsid w:val="002A5A70"/>
    <w:rsid w:val="002B70AC"/>
    <w:rsid w:val="002C1774"/>
    <w:rsid w:val="002D2CC5"/>
    <w:rsid w:val="002E5F62"/>
    <w:rsid w:val="002E7711"/>
    <w:rsid w:val="002F77F3"/>
    <w:rsid w:val="003122B4"/>
    <w:rsid w:val="00337919"/>
    <w:rsid w:val="0034255D"/>
    <w:rsid w:val="00345DC5"/>
    <w:rsid w:val="00350569"/>
    <w:rsid w:val="00352174"/>
    <w:rsid w:val="0035271B"/>
    <w:rsid w:val="003555D1"/>
    <w:rsid w:val="00355E8A"/>
    <w:rsid w:val="00363819"/>
    <w:rsid w:val="00372A6D"/>
    <w:rsid w:val="00374AE3"/>
    <w:rsid w:val="00377316"/>
    <w:rsid w:val="00377782"/>
    <w:rsid w:val="0038605E"/>
    <w:rsid w:val="00395279"/>
    <w:rsid w:val="003A06B7"/>
    <w:rsid w:val="003A097E"/>
    <w:rsid w:val="003A52BA"/>
    <w:rsid w:val="003B56AD"/>
    <w:rsid w:val="003D5CEF"/>
    <w:rsid w:val="003D700F"/>
    <w:rsid w:val="003E0945"/>
    <w:rsid w:val="003E3B08"/>
    <w:rsid w:val="003E4637"/>
    <w:rsid w:val="003E6457"/>
    <w:rsid w:val="003E64C0"/>
    <w:rsid w:val="003F0CDE"/>
    <w:rsid w:val="003F6682"/>
    <w:rsid w:val="003F7A0B"/>
    <w:rsid w:val="0040460A"/>
    <w:rsid w:val="00405506"/>
    <w:rsid w:val="00417E30"/>
    <w:rsid w:val="00420023"/>
    <w:rsid w:val="00425089"/>
    <w:rsid w:val="00427D7F"/>
    <w:rsid w:val="004324B6"/>
    <w:rsid w:val="00433682"/>
    <w:rsid w:val="0043744D"/>
    <w:rsid w:val="0044498B"/>
    <w:rsid w:val="00445086"/>
    <w:rsid w:val="004511F2"/>
    <w:rsid w:val="00462BB0"/>
    <w:rsid w:val="00466EAF"/>
    <w:rsid w:val="00467CD7"/>
    <w:rsid w:val="00471682"/>
    <w:rsid w:val="00475E53"/>
    <w:rsid w:val="0048127A"/>
    <w:rsid w:val="004835F0"/>
    <w:rsid w:val="00483957"/>
    <w:rsid w:val="00486366"/>
    <w:rsid w:val="004869D4"/>
    <w:rsid w:val="004934E5"/>
    <w:rsid w:val="00494B72"/>
    <w:rsid w:val="00496081"/>
    <w:rsid w:val="0049760F"/>
    <w:rsid w:val="004A1348"/>
    <w:rsid w:val="004A68CB"/>
    <w:rsid w:val="004B1111"/>
    <w:rsid w:val="004B243F"/>
    <w:rsid w:val="004B2EBD"/>
    <w:rsid w:val="004C2B08"/>
    <w:rsid w:val="004C6E09"/>
    <w:rsid w:val="004D2C7C"/>
    <w:rsid w:val="004D5718"/>
    <w:rsid w:val="004D67A7"/>
    <w:rsid w:val="004D71C4"/>
    <w:rsid w:val="004E0C9C"/>
    <w:rsid w:val="004E1559"/>
    <w:rsid w:val="004E52A2"/>
    <w:rsid w:val="004E7B75"/>
    <w:rsid w:val="004F0AA6"/>
    <w:rsid w:val="004F2B84"/>
    <w:rsid w:val="004F2E8D"/>
    <w:rsid w:val="004F3BB7"/>
    <w:rsid w:val="004F6988"/>
    <w:rsid w:val="004F7237"/>
    <w:rsid w:val="00510063"/>
    <w:rsid w:val="00514758"/>
    <w:rsid w:val="0052108D"/>
    <w:rsid w:val="005261D0"/>
    <w:rsid w:val="0054242B"/>
    <w:rsid w:val="00542D30"/>
    <w:rsid w:val="00542F07"/>
    <w:rsid w:val="00543427"/>
    <w:rsid w:val="00545C8A"/>
    <w:rsid w:val="00550525"/>
    <w:rsid w:val="00553190"/>
    <w:rsid w:val="005556B6"/>
    <w:rsid w:val="00556575"/>
    <w:rsid w:val="00557ED4"/>
    <w:rsid w:val="00561187"/>
    <w:rsid w:val="00564123"/>
    <w:rsid w:val="005645FE"/>
    <w:rsid w:val="00570B62"/>
    <w:rsid w:val="005711E1"/>
    <w:rsid w:val="00580035"/>
    <w:rsid w:val="00581BF2"/>
    <w:rsid w:val="005868EC"/>
    <w:rsid w:val="00591FB3"/>
    <w:rsid w:val="00595BBD"/>
    <w:rsid w:val="0059641E"/>
    <w:rsid w:val="005A0D52"/>
    <w:rsid w:val="005A1A44"/>
    <w:rsid w:val="005A2673"/>
    <w:rsid w:val="005B717D"/>
    <w:rsid w:val="005C6B49"/>
    <w:rsid w:val="005D432F"/>
    <w:rsid w:val="005E1472"/>
    <w:rsid w:val="005E4B84"/>
    <w:rsid w:val="005E6B35"/>
    <w:rsid w:val="005E7CF7"/>
    <w:rsid w:val="005F0FEE"/>
    <w:rsid w:val="00601E25"/>
    <w:rsid w:val="006105F8"/>
    <w:rsid w:val="00616AE6"/>
    <w:rsid w:val="006173AC"/>
    <w:rsid w:val="0062100F"/>
    <w:rsid w:val="006330A9"/>
    <w:rsid w:val="00634880"/>
    <w:rsid w:val="00635D28"/>
    <w:rsid w:val="006370D5"/>
    <w:rsid w:val="006425BA"/>
    <w:rsid w:val="0065082B"/>
    <w:rsid w:val="00650B9A"/>
    <w:rsid w:val="00653345"/>
    <w:rsid w:val="00655D74"/>
    <w:rsid w:val="00656F11"/>
    <w:rsid w:val="00664E1C"/>
    <w:rsid w:val="00666462"/>
    <w:rsid w:val="00670DFE"/>
    <w:rsid w:val="006728E1"/>
    <w:rsid w:val="00684D37"/>
    <w:rsid w:val="00694030"/>
    <w:rsid w:val="006961D6"/>
    <w:rsid w:val="006A175B"/>
    <w:rsid w:val="006A788C"/>
    <w:rsid w:val="006C03F7"/>
    <w:rsid w:val="006D04CC"/>
    <w:rsid w:val="006D1088"/>
    <w:rsid w:val="006D2A35"/>
    <w:rsid w:val="006E3573"/>
    <w:rsid w:val="006F0795"/>
    <w:rsid w:val="006F5785"/>
    <w:rsid w:val="006F6A8E"/>
    <w:rsid w:val="006F73EF"/>
    <w:rsid w:val="007238A6"/>
    <w:rsid w:val="00726103"/>
    <w:rsid w:val="00727F4C"/>
    <w:rsid w:val="0073466C"/>
    <w:rsid w:val="00734F6B"/>
    <w:rsid w:val="00736D31"/>
    <w:rsid w:val="007430C1"/>
    <w:rsid w:val="00756644"/>
    <w:rsid w:val="00763952"/>
    <w:rsid w:val="00772BA1"/>
    <w:rsid w:val="00781867"/>
    <w:rsid w:val="00785ABB"/>
    <w:rsid w:val="007876A2"/>
    <w:rsid w:val="007A0EDE"/>
    <w:rsid w:val="007D1D3A"/>
    <w:rsid w:val="007D695A"/>
    <w:rsid w:val="007D7B7B"/>
    <w:rsid w:val="007E1446"/>
    <w:rsid w:val="007E2604"/>
    <w:rsid w:val="007E33D2"/>
    <w:rsid w:val="0080424C"/>
    <w:rsid w:val="00804260"/>
    <w:rsid w:val="00807B42"/>
    <w:rsid w:val="008103DE"/>
    <w:rsid w:val="00814ED5"/>
    <w:rsid w:val="00817E78"/>
    <w:rsid w:val="00834903"/>
    <w:rsid w:val="008352AC"/>
    <w:rsid w:val="008473CB"/>
    <w:rsid w:val="00851F04"/>
    <w:rsid w:val="00852651"/>
    <w:rsid w:val="008553F7"/>
    <w:rsid w:val="00862CF4"/>
    <w:rsid w:val="00864296"/>
    <w:rsid w:val="00864E28"/>
    <w:rsid w:val="008651E8"/>
    <w:rsid w:val="008766AD"/>
    <w:rsid w:val="008805B9"/>
    <w:rsid w:val="00881219"/>
    <w:rsid w:val="0089122D"/>
    <w:rsid w:val="008957B9"/>
    <w:rsid w:val="00897D7C"/>
    <w:rsid w:val="008A17B6"/>
    <w:rsid w:val="008A250E"/>
    <w:rsid w:val="008A39B9"/>
    <w:rsid w:val="008A6B50"/>
    <w:rsid w:val="008A6F4F"/>
    <w:rsid w:val="008B0C7B"/>
    <w:rsid w:val="008B0EEA"/>
    <w:rsid w:val="008B3B6B"/>
    <w:rsid w:val="008B7C2A"/>
    <w:rsid w:val="008C0468"/>
    <w:rsid w:val="008C196C"/>
    <w:rsid w:val="008D4495"/>
    <w:rsid w:val="008E258C"/>
    <w:rsid w:val="008E4C9B"/>
    <w:rsid w:val="008E7B7C"/>
    <w:rsid w:val="008F153E"/>
    <w:rsid w:val="008F1594"/>
    <w:rsid w:val="008F315F"/>
    <w:rsid w:val="008F4B45"/>
    <w:rsid w:val="009000AA"/>
    <w:rsid w:val="00907B4A"/>
    <w:rsid w:val="0091151F"/>
    <w:rsid w:val="0091706C"/>
    <w:rsid w:val="009242A4"/>
    <w:rsid w:val="00942A31"/>
    <w:rsid w:val="00945FCC"/>
    <w:rsid w:val="00950101"/>
    <w:rsid w:val="009542F2"/>
    <w:rsid w:val="009562F4"/>
    <w:rsid w:val="0096029D"/>
    <w:rsid w:val="00967F53"/>
    <w:rsid w:val="00977405"/>
    <w:rsid w:val="00984018"/>
    <w:rsid w:val="009858E2"/>
    <w:rsid w:val="00993DBB"/>
    <w:rsid w:val="009A2FAF"/>
    <w:rsid w:val="009B2389"/>
    <w:rsid w:val="009B32BA"/>
    <w:rsid w:val="009B51E7"/>
    <w:rsid w:val="009B5206"/>
    <w:rsid w:val="009B7859"/>
    <w:rsid w:val="009C4CB1"/>
    <w:rsid w:val="009C742B"/>
    <w:rsid w:val="009D0B98"/>
    <w:rsid w:val="009E4A9E"/>
    <w:rsid w:val="009E66EE"/>
    <w:rsid w:val="009E6DE2"/>
    <w:rsid w:val="009F52D4"/>
    <w:rsid w:val="00A26321"/>
    <w:rsid w:val="00A30169"/>
    <w:rsid w:val="00A3287F"/>
    <w:rsid w:val="00A33CD4"/>
    <w:rsid w:val="00A37CE3"/>
    <w:rsid w:val="00A51037"/>
    <w:rsid w:val="00A51FC5"/>
    <w:rsid w:val="00A5641C"/>
    <w:rsid w:val="00A6026A"/>
    <w:rsid w:val="00A60FB7"/>
    <w:rsid w:val="00A64177"/>
    <w:rsid w:val="00A669BD"/>
    <w:rsid w:val="00A675AF"/>
    <w:rsid w:val="00A7172E"/>
    <w:rsid w:val="00A75DC5"/>
    <w:rsid w:val="00A91196"/>
    <w:rsid w:val="00AA41CD"/>
    <w:rsid w:val="00AA5232"/>
    <w:rsid w:val="00AA69A9"/>
    <w:rsid w:val="00AA7C10"/>
    <w:rsid w:val="00AB53A4"/>
    <w:rsid w:val="00AC07E4"/>
    <w:rsid w:val="00AE0234"/>
    <w:rsid w:val="00AE2F7E"/>
    <w:rsid w:val="00AE42B5"/>
    <w:rsid w:val="00AF51AC"/>
    <w:rsid w:val="00B02236"/>
    <w:rsid w:val="00B06E28"/>
    <w:rsid w:val="00B15CE8"/>
    <w:rsid w:val="00B172DB"/>
    <w:rsid w:val="00B2044B"/>
    <w:rsid w:val="00B23A4C"/>
    <w:rsid w:val="00B31FBA"/>
    <w:rsid w:val="00B378D4"/>
    <w:rsid w:val="00B3793F"/>
    <w:rsid w:val="00B436AD"/>
    <w:rsid w:val="00B4429E"/>
    <w:rsid w:val="00B47504"/>
    <w:rsid w:val="00B542FB"/>
    <w:rsid w:val="00B56A6A"/>
    <w:rsid w:val="00B63F9D"/>
    <w:rsid w:val="00B71140"/>
    <w:rsid w:val="00B714E8"/>
    <w:rsid w:val="00B7328C"/>
    <w:rsid w:val="00B74CAA"/>
    <w:rsid w:val="00B75F92"/>
    <w:rsid w:val="00B8259B"/>
    <w:rsid w:val="00B83E3D"/>
    <w:rsid w:val="00B90DB5"/>
    <w:rsid w:val="00B93720"/>
    <w:rsid w:val="00B93792"/>
    <w:rsid w:val="00BA0109"/>
    <w:rsid w:val="00BA129D"/>
    <w:rsid w:val="00BA7CA8"/>
    <w:rsid w:val="00BB25DE"/>
    <w:rsid w:val="00BC3BBB"/>
    <w:rsid w:val="00BC50C1"/>
    <w:rsid w:val="00BC7F46"/>
    <w:rsid w:val="00BD1C20"/>
    <w:rsid w:val="00BD2649"/>
    <w:rsid w:val="00BD2B2D"/>
    <w:rsid w:val="00BD55AD"/>
    <w:rsid w:val="00BD671A"/>
    <w:rsid w:val="00BE2018"/>
    <w:rsid w:val="00BE505F"/>
    <w:rsid w:val="00BF00A9"/>
    <w:rsid w:val="00BF24D6"/>
    <w:rsid w:val="00BF426F"/>
    <w:rsid w:val="00C00B47"/>
    <w:rsid w:val="00C0126E"/>
    <w:rsid w:val="00C031E3"/>
    <w:rsid w:val="00C05423"/>
    <w:rsid w:val="00C11326"/>
    <w:rsid w:val="00C131D7"/>
    <w:rsid w:val="00C13ABA"/>
    <w:rsid w:val="00C20EB3"/>
    <w:rsid w:val="00C247FD"/>
    <w:rsid w:val="00C30A42"/>
    <w:rsid w:val="00C4491F"/>
    <w:rsid w:val="00C44B1D"/>
    <w:rsid w:val="00C5404E"/>
    <w:rsid w:val="00C555C2"/>
    <w:rsid w:val="00C6108C"/>
    <w:rsid w:val="00C61A31"/>
    <w:rsid w:val="00C66700"/>
    <w:rsid w:val="00C732EE"/>
    <w:rsid w:val="00C82480"/>
    <w:rsid w:val="00C839BD"/>
    <w:rsid w:val="00CA05F8"/>
    <w:rsid w:val="00CA48C4"/>
    <w:rsid w:val="00CA5F76"/>
    <w:rsid w:val="00CA6244"/>
    <w:rsid w:val="00CB548E"/>
    <w:rsid w:val="00CB5DA8"/>
    <w:rsid w:val="00CB6923"/>
    <w:rsid w:val="00CC0878"/>
    <w:rsid w:val="00CC39C8"/>
    <w:rsid w:val="00CE4BF1"/>
    <w:rsid w:val="00CF45CC"/>
    <w:rsid w:val="00D02ECE"/>
    <w:rsid w:val="00D03DFB"/>
    <w:rsid w:val="00D07EC2"/>
    <w:rsid w:val="00D10AF1"/>
    <w:rsid w:val="00D11EDB"/>
    <w:rsid w:val="00D16EF3"/>
    <w:rsid w:val="00D245D6"/>
    <w:rsid w:val="00D2592B"/>
    <w:rsid w:val="00D271A1"/>
    <w:rsid w:val="00D31D42"/>
    <w:rsid w:val="00D3244E"/>
    <w:rsid w:val="00D37294"/>
    <w:rsid w:val="00D3741F"/>
    <w:rsid w:val="00D40067"/>
    <w:rsid w:val="00D422E5"/>
    <w:rsid w:val="00D42A30"/>
    <w:rsid w:val="00D458A1"/>
    <w:rsid w:val="00D465BE"/>
    <w:rsid w:val="00D471A6"/>
    <w:rsid w:val="00D62923"/>
    <w:rsid w:val="00D6302E"/>
    <w:rsid w:val="00D67AB0"/>
    <w:rsid w:val="00D67E9A"/>
    <w:rsid w:val="00D76659"/>
    <w:rsid w:val="00D9212F"/>
    <w:rsid w:val="00D92269"/>
    <w:rsid w:val="00D9269E"/>
    <w:rsid w:val="00DA50D6"/>
    <w:rsid w:val="00DA53D1"/>
    <w:rsid w:val="00DA67BC"/>
    <w:rsid w:val="00DB04C5"/>
    <w:rsid w:val="00DB4E1F"/>
    <w:rsid w:val="00DB54A4"/>
    <w:rsid w:val="00DC127A"/>
    <w:rsid w:val="00DC293A"/>
    <w:rsid w:val="00DC2C11"/>
    <w:rsid w:val="00DC356C"/>
    <w:rsid w:val="00DE22E2"/>
    <w:rsid w:val="00DE7D84"/>
    <w:rsid w:val="00DF266B"/>
    <w:rsid w:val="00DF7606"/>
    <w:rsid w:val="00DF7C32"/>
    <w:rsid w:val="00E12492"/>
    <w:rsid w:val="00E23722"/>
    <w:rsid w:val="00E31BCB"/>
    <w:rsid w:val="00E34046"/>
    <w:rsid w:val="00E43F82"/>
    <w:rsid w:val="00E52088"/>
    <w:rsid w:val="00E650FE"/>
    <w:rsid w:val="00E67194"/>
    <w:rsid w:val="00E7460D"/>
    <w:rsid w:val="00E82C89"/>
    <w:rsid w:val="00E91760"/>
    <w:rsid w:val="00E940F5"/>
    <w:rsid w:val="00E95ECA"/>
    <w:rsid w:val="00E960D9"/>
    <w:rsid w:val="00EA2CDC"/>
    <w:rsid w:val="00EC2DBE"/>
    <w:rsid w:val="00ED1055"/>
    <w:rsid w:val="00ED2B70"/>
    <w:rsid w:val="00ED60EE"/>
    <w:rsid w:val="00ED6CFE"/>
    <w:rsid w:val="00EE0B6F"/>
    <w:rsid w:val="00EE0E7C"/>
    <w:rsid w:val="00EE3376"/>
    <w:rsid w:val="00EE35EF"/>
    <w:rsid w:val="00EE39F4"/>
    <w:rsid w:val="00EE3B89"/>
    <w:rsid w:val="00EF6542"/>
    <w:rsid w:val="00F05B7B"/>
    <w:rsid w:val="00F074CE"/>
    <w:rsid w:val="00F07E89"/>
    <w:rsid w:val="00F120AE"/>
    <w:rsid w:val="00F22477"/>
    <w:rsid w:val="00F2545E"/>
    <w:rsid w:val="00F30CAD"/>
    <w:rsid w:val="00F33D07"/>
    <w:rsid w:val="00F50491"/>
    <w:rsid w:val="00F50994"/>
    <w:rsid w:val="00F52710"/>
    <w:rsid w:val="00F536B9"/>
    <w:rsid w:val="00F545ED"/>
    <w:rsid w:val="00F56D07"/>
    <w:rsid w:val="00F605E6"/>
    <w:rsid w:val="00F649D9"/>
    <w:rsid w:val="00F74AD4"/>
    <w:rsid w:val="00F74DFC"/>
    <w:rsid w:val="00F8285A"/>
    <w:rsid w:val="00F93F71"/>
    <w:rsid w:val="00F96FDB"/>
    <w:rsid w:val="00FA1EE8"/>
    <w:rsid w:val="00FA5138"/>
    <w:rsid w:val="00FB4DEF"/>
    <w:rsid w:val="00FC690D"/>
    <w:rsid w:val="00FD1E77"/>
    <w:rsid w:val="00FD6ECF"/>
    <w:rsid w:val="00FE50B6"/>
    <w:rsid w:val="00FE66D7"/>
    <w:rsid w:val="00FF3B72"/>
    <w:rsid w:val="00FF43A3"/>
    <w:rsid w:val="00FF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paragraph" w:styleId="Heading3">
    <w:name w:val="heading 3"/>
    <w:basedOn w:val="Normal"/>
    <w:next w:val="Normal"/>
    <w:link w:val="Heading3Char"/>
    <w:uiPriority w:val="9"/>
    <w:unhideWhenUsed/>
    <w:qFormat/>
    <w:rsid w:val="008A6B50"/>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6B50"/>
    <w:rPr>
      <w:rFonts w:asciiTheme="majorHAnsi" w:eastAsiaTheme="majorEastAsia" w:hAnsiTheme="majorHAnsi" w:cstheme="majorBidi"/>
      <w:color w:val="003120" w:themeColor="accent1" w:themeShade="7F"/>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3466C"/>
    <w:rPr>
      <w:rFonts w:ascii="Arial" w:eastAsiaTheme="minorEastAsia" w:hAnsi="Arial"/>
      <w:sz w:val="20"/>
      <w:szCs w:val="21"/>
    </w:rPr>
  </w:style>
  <w:style w:type="character" w:customStyle="1" w:styleId="hgkelc">
    <w:name w:val="hgkelc"/>
    <w:basedOn w:val="DefaultParagraphFont"/>
    <w:rsid w:val="0038605E"/>
  </w:style>
  <w:style w:type="paragraph" w:styleId="PlainText">
    <w:name w:val="Plain Text"/>
    <w:basedOn w:val="Normal"/>
    <w:link w:val="PlainTextChar"/>
    <w:uiPriority w:val="99"/>
    <w:unhideWhenUsed/>
    <w:rsid w:val="004E7B75"/>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E7B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54572071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32515822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1970671470">
      <w:bodyDiv w:val="1"/>
      <w:marLeft w:val="0"/>
      <w:marRight w:val="0"/>
      <w:marTop w:val="0"/>
      <w:marBottom w:val="0"/>
      <w:divBdr>
        <w:top w:val="none" w:sz="0" w:space="0" w:color="auto"/>
        <w:left w:val="none" w:sz="0" w:space="0" w:color="auto"/>
        <w:bottom w:val="none" w:sz="0" w:space="0" w:color="auto"/>
        <w:right w:val="none" w:sz="0" w:space="0" w:color="auto"/>
      </w:divBdr>
    </w:div>
    <w:div w:id="20322966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victorias-restriction-levels-covid-19" TargetMode="External"/><Relationship Id="rId18" Type="http://schemas.openxmlformats.org/officeDocument/2006/relationships/hyperlink" Target="https://www.servicesaustralia.gov.au/individuals/subjects/concession-and-health-care-cards" TargetMode="External"/><Relationship Id="rId3" Type="http://schemas.openxmlformats.org/officeDocument/2006/relationships/customXml" Target="../customXml/item3.xml"/><Relationship Id="rId21" Type="http://schemas.openxmlformats.org/officeDocument/2006/relationships/hyperlink" Target="https://www1.health.gov.au/internet/main/publishing.nsf/Content/health-provider-tip-of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edicalboar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rvicesaustralia.gov.au/organisations/health-professionals/forms/db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alth.gov.au/resources/collections/coronavirus-covid-19-national-health-plan-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86A3-A8B7-400B-BB27-913B0AD15FF9}">
  <ds:schemaRefs>
    <ds:schemaRef ds:uri="http://purl.org/dc/terms/"/>
    <ds:schemaRef ds:uri="http://purl.org/dc/dcmitype/"/>
    <ds:schemaRef ds:uri="F2369729-DF80-4B8A-A689-02F021C983F4"/>
    <ds:schemaRef ds:uri="http://schemas.microsoft.com/office/2006/documentManagement/types"/>
    <ds:schemaRef ds:uri="http://schemas.microsoft.com/office/2006/metadata/properties"/>
    <ds:schemaRef ds:uri="http://schemas.microsoft.com/office/infopath/2007/PartnerControls"/>
    <ds:schemaRef ds:uri="81348d9c-1cc5-4b3b-8e15-6dd12d470b88"/>
    <ds:schemaRef ds:uri="http://schemas.microsoft.com/sharepoint/v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9BF6B-E348-4E67-8A92-241C1F48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2020-09-21T06:27:00Z</dcterms:created>
  <dcterms:modified xsi:type="dcterms:W3CDTF">2020-09-21T06:27:00Z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